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B175D" w14:textId="77777777" w:rsidR="008155C9" w:rsidRDefault="008155C9" w:rsidP="008155C9">
      <w:pPr>
        <w:spacing w:after="0" w:line="240" w:lineRule="auto"/>
        <w:jc w:val="center"/>
        <w:rPr>
          <w:rFonts w:cstheme="minorHAnsi"/>
          <w:b/>
          <w:bCs/>
        </w:rPr>
      </w:pPr>
    </w:p>
    <w:p w14:paraId="3900B510" w14:textId="77777777" w:rsidR="008155C9" w:rsidRDefault="008155C9" w:rsidP="008155C9">
      <w:pPr>
        <w:spacing w:after="0" w:line="240" w:lineRule="auto"/>
        <w:jc w:val="center"/>
        <w:rPr>
          <w:rFonts w:cstheme="minorHAnsi"/>
          <w:b/>
          <w:bCs/>
        </w:rPr>
      </w:pPr>
    </w:p>
    <w:p w14:paraId="5A9BF515" w14:textId="77777777" w:rsidR="008155C9" w:rsidRDefault="008155C9" w:rsidP="008155C9">
      <w:pPr>
        <w:spacing w:after="0" w:line="240" w:lineRule="auto"/>
        <w:jc w:val="center"/>
        <w:rPr>
          <w:rFonts w:cstheme="minorHAnsi"/>
          <w:b/>
          <w:bCs/>
        </w:rPr>
      </w:pPr>
    </w:p>
    <w:p w14:paraId="4E211FB1" w14:textId="77777777" w:rsidR="008155C9" w:rsidRPr="008155C9" w:rsidRDefault="008155C9" w:rsidP="008155C9">
      <w:pPr>
        <w:spacing w:after="0" w:line="240" w:lineRule="auto"/>
        <w:jc w:val="center"/>
        <w:rPr>
          <w:rFonts w:cstheme="minorHAnsi"/>
          <w:b/>
          <w:bCs/>
          <w:sz w:val="28"/>
          <w:szCs w:val="28"/>
        </w:rPr>
      </w:pPr>
    </w:p>
    <w:p w14:paraId="25934C55" w14:textId="2F553C69" w:rsidR="00614780" w:rsidRPr="007F7C81" w:rsidRDefault="008155C9" w:rsidP="008155C9">
      <w:pPr>
        <w:spacing w:after="0" w:line="240" w:lineRule="auto"/>
        <w:jc w:val="center"/>
        <w:rPr>
          <w:rFonts w:cstheme="minorHAnsi"/>
          <w:b/>
          <w:bCs/>
          <w:sz w:val="32"/>
          <w:szCs w:val="32"/>
        </w:rPr>
      </w:pPr>
      <w:r w:rsidRPr="007F7C81">
        <w:rPr>
          <w:rFonts w:cstheme="minorHAnsi"/>
          <w:b/>
          <w:bCs/>
          <w:sz w:val="32"/>
          <w:szCs w:val="32"/>
        </w:rPr>
        <w:t>TERMS OF REFERENCE (TOR)</w:t>
      </w:r>
    </w:p>
    <w:p w14:paraId="04B8768E" w14:textId="77777777" w:rsidR="00EF0B2E" w:rsidRPr="008155C9" w:rsidRDefault="00EF0B2E" w:rsidP="008155C9">
      <w:pPr>
        <w:spacing w:after="0" w:line="240" w:lineRule="auto"/>
        <w:jc w:val="center"/>
        <w:rPr>
          <w:rFonts w:cstheme="minorHAnsi"/>
          <w:b/>
          <w:bCs/>
          <w:sz w:val="28"/>
          <w:szCs w:val="28"/>
        </w:rPr>
      </w:pPr>
    </w:p>
    <w:p w14:paraId="667C37B4" w14:textId="23A84772" w:rsidR="008155C9" w:rsidRDefault="008155C9" w:rsidP="008155C9">
      <w:pPr>
        <w:spacing w:after="0" w:line="240" w:lineRule="auto"/>
        <w:jc w:val="center"/>
        <w:rPr>
          <w:rFonts w:cstheme="minorHAnsi"/>
          <w:b/>
          <w:bCs/>
          <w:sz w:val="28"/>
          <w:szCs w:val="28"/>
        </w:rPr>
      </w:pPr>
      <w:r>
        <w:rPr>
          <w:rFonts w:cstheme="minorHAnsi"/>
          <w:b/>
          <w:bCs/>
          <w:sz w:val="28"/>
          <w:szCs w:val="28"/>
        </w:rPr>
        <w:t>f</w:t>
      </w:r>
      <w:r w:rsidRPr="008155C9">
        <w:rPr>
          <w:rFonts w:cstheme="minorHAnsi"/>
          <w:b/>
          <w:bCs/>
          <w:sz w:val="28"/>
          <w:szCs w:val="28"/>
        </w:rPr>
        <w:t>or</w:t>
      </w:r>
      <w:r>
        <w:rPr>
          <w:rFonts w:cstheme="minorHAnsi"/>
          <w:b/>
          <w:bCs/>
          <w:sz w:val="28"/>
          <w:szCs w:val="28"/>
        </w:rPr>
        <w:t xml:space="preserve"> C</w:t>
      </w:r>
      <w:r w:rsidRPr="008155C9">
        <w:rPr>
          <w:rFonts w:cstheme="minorHAnsi"/>
          <w:b/>
          <w:bCs/>
          <w:sz w:val="28"/>
          <w:szCs w:val="28"/>
        </w:rPr>
        <w:t xml:space="preserve">onducting Baseline Study </w:t>
      </w:r>
      <w:r>
        <w:rPr>
          <w:rFonts w:cstheme="minorHAnsi"/>
          <w:b/>
          <w:bCs/>
          <w:sz w:val="28"/>
          <w:szCs w:val="28"/>
        </w:rPr>
        <w:t>o</w:t>
      </w:r>
      <w:r w:rsidRPr="008155C9">
        <w:rPr>
          <w:rFonts w:cstheme="minorHAnsi"/>
          <w:b/>
          <w:bCs/>
          <w:sz w:val="28"/>
          <w:szCs w:val="28"/>
        </w:rPr>
        <w:t xml:space="preserve">n </w:t>
      </w:r>
    </w:p>
    <w:p w14:paraId="551C4839" w14:textId="77777777" w:rsidR="005F38FB" w:rsidRDefault="005F38FB" w:rsidP="008155C9">
      <w:pPr>
        <w:spacing w:after="0" w:line="240" w:lineRule="auto"/>
        <w:jc w:val="center"/>
        <w:rPr>
          <w:rFonts w:cstheme="minorHAnsi"/>
          <w:b/>
          <w:bCs/>
          <w:sz w:val="28"/>
          <w:szCs w:val="28"/>
        </w:rPr>
      </w:pPr>
    </w:p>
    <w:p w14:paraId="2E72C874" w14:textId="2D69A409" w:rsidR="00614780" w:rsidRPr="008155C9" w:rsidRDefault="008155C9" w:rsidP="008155C9">
      <w:pPr>
        <w:spacing w:after="0" w:line="240" w:lineRule="auto"/>
        <w:jc w:val="center"/>
        <w:rPr>
          <w:rFonts w:cstheme="minorHAnsi"/>
          <w:b/>
          <w:bCs/>
          <w:sz w:val="26"/>
          <w:szCs w:val="26"/>
        </w:rPr>
      </w:pPr>
      <w:r w:rsidRPr="008155C9">
        <w:rPr>
          <w:rFonts w:cstheme="minorHAnsi"/>
          <w:b/>
          <w:bCs/>
          <w:sz w:val="26"/>
          <w:szCs w:val="26"/>
        </w:rPr>
        <w:t>“</w:t>
      </w:r>
      <w:r w:rsidR="008B4B2F" w:rsidRPr="008155C9">
        <w:rPr>
          <w:rFonts w:cstheme="minorHAnsi"/>
          <w:b/>
          <w:sz w:val="26"/>
          <w:szCs w:val="26"/>
        </w:rPr>
        <w:t xml:space="preserve">Shaping </w:t>
      </w:r>
      <w:r w:rsidRPr="008155C9">
        <w:rPr>
          <w:rFonts w:cstheme="minorHAnsi"/>
          <w:b/>
          <w:sz w:val="26"/>
          <w:szCs w:val="26"/>
        </w:rPr>
        <w:t>Political Change - Strengthening Girls' Rights, Ending Child Marriage” Project</w:t>
      </w:r>
    </w:p>
    <w:p w14:paraId="0480E854" w14:textId="77777777" w:rsidR="00614780" w:rsidRPr="008155C9" w:rsidRDefault="00614780" w:rsidP="008155C9">
      <w:pPr>
        <w:spacing w:after="0" w:line="240" w:lineRule="auto"/>
        <w:jc w:val="center"/>
        <w:rPr>
          <w:rFonts w:cstheme="minorHAnsi"/>
          <w:b/>
          <w:bCs/>
          <w:sz w:val="28"/>
          <w:szCs w:val="28"/>
        </w:rPr>
      </w:pPr>
    </w:p>
    <w:p w14:paraId="605D9E5A" w14:textId="77777777" w:rsidR="00614780" w:rsidRPr="008155C9" w:rsidRDefault="00614780" w:rsidP="008155C9">
      <w:pPr>
        <w:spacing w:after="0" w:line="240" w:lineRule="auto"/>
        <w:jc w:val="center"/>
        <w:rPr>
          <w:rFonts w:cstheme="minorHAnsi"/>
          <w:b/>
          <w:bCs/>
          <w:sz w:val="28"/>
          <w:szCs w:val="28"/>
        </w:rPr>
      </w:pPr>
    </w:p>
    <w:p w14:paraId="0290D99C" w14:textId="77777777" w:rsidR="00614780" w:rsidRPr="008155C9" w:rsidRDefault="00614780" w:rsidP="008155C9">
      <w:pPr>
        <w:spacing w:after="0" w:line="240" w:lineRule="auto"/>
        <w:jc w:val="center"/>
        <w:rPr>
          <w:rFonts w:cstheme="minorHAnsi"/>
          <w:b/>
          <w:bCs/>
          <w:sz w:val="28"/>
          <w:szCs w:val="28"/>
        </w:rPr>
      </w:pPr>
    </w:p>
    <w:p w14:paraId="09F8F344" w14:textId="77777777" w:rsidR="00614780" w:rsidRDefault="00614780" w:rsidP="008155C9">
      <w:pPr>
        <w:spacing w:after="0" w:line="240" w:lineRule="auto"/>
        <w:jc w:val="center"/>
        <w:rPr>
          <w:rFonts w:cstheme="minorHAnsi"/>
          <w:b/>
          <w:bCs/>
          <w:sz w:val="28"/>
          <w:szCs w:val="28"/>
        </w:rPr>
      </w:pPr>
    </w:p>
    <w:p w14:paraId="21E1FB71" w14:textId="77777777" w:rsidR="008155C9" w:rsidRDefault="008155C9" w:rsidP="008155C9">
      <w:pPr>
        <w:spacing w:after="0" w:line="240" w:lineRule="auto"/>
        <w:jc w:val="center"/>
        <w:rPr>
          <w:rFonts w:cstheme="minorHAnsi"/>
          <w:b/>
          <w:bCs/>
          <w:sz w:val="28"/>
          <w:szCs w:val="28"/>
        </w:rPr>
      </w:pPr>
    </w:p>
    <w:p w14:paraId="184E4C37" w14:textId="77777777" w:rsidR="008155C9" w:rsidRPr="008155C9" w:rsidRDefault="008155C9" w:rsidP="008155C9">
      <w:pPr>
        <w:spacing w:after="0" w:line="240" w:lineRule="auto"/>
        <w:jc w:val="center"/>
        <w:rPr>
          <w:rFonts w:cstheme="minorHAnsi"/>
          <w:b/>
          <w:bCs/>
          <w:sz w:val="28"/>
          <w:szCs w:val="28"/>
        </w:rPr>
      </w:pPr>
    </w:p>
    <w:p w14:paraId="2E993705" w14:textId="77777777" w:rsidR="00614780" w:rsidRDefault="00614780" w:rsidP="008155C9">
      <w:pPr>
        <w:spacing w:after="0" w:line="240" w:lineRule="auto"/>
        <w:jc w:val="center"/>
        <w:rPr>
          <w:rFonts w:cstheme="minorHAnsi"/>
          <w:b/>
          <w:bCs/>
          <w:sz w:val="28"/>
          <w:szCs w:val="28"/>
        </w:rPr>
      </w:pPr>
    </w:p>
    <w:p w14:paraId="5CA0DF4C" w14:textId="77777777" w:rsidR="000A0622" w:rsidRDefault="000A0622" w:rsidP="008155C9">
      <w:pPr>
        <w:spacing w:after="0" w:line="240" w:lineRule="auto"/>
        <w:jc w:val="center"/>
        <w:rPr>
          <w:rFonts w:cstheme="minorHAnsi"/>
          <w:b/>
          <w:bCs/>
          <w:sz w:val="28"/>
          <w:szCs w:val="28"/>
        </w:rPr>
      </w:pPr>
    </w:p>
    <w:p w14:paraId="6F0152DC" w14:textId="77777777" w:rsidR="000A0622" w:rsidRPr="008155C9" w:rsidRDefault="000A0622" w:rsidP="008155C9">
      <w:pPr>
        <w:spacing w:after="0" w:line="240" w:lineRule="auto"/>
        <w:jc w:val="center"/>
        <w:rPr>
          <w:rFonts w:cstheme="minorHAnsi"/>
          <w:b/>
          <w:bCs/>
          <w:sz w:val="28"/>
          <w:szCs w:val="28"/>
        </w:rPr>
      </w:pPr>
    </w:p>
    <w:p w14:paraId="46E097F1" w14:textId="26B57B56" w:rsidR="00614780" w:rsidRPr="008155C9" w:rsidRDefault="00614780" w:rsidP="008155C9">
      <w:pPr>
        <w:spacing w:after="0" w:line="240" w:lineRule="auto"/>
        <w:jc w:val="center"/>
        <w:rPr>
          <w:rFonts w:cstheme="minorHAnsi"/>
          <w:b/>
          <w:bCs/>
          <w:sz w:val="28"/>
          <w:szCs w:val="28"/>
        </w:rPr>
      </w:pPr>
      <w:r w:rsidRPr="008155C9">
        <w:rPr>
          <w:rFonts w:cstheme="minorHAnsi"/>
          <w:b/>
          <w:bCs/>
          <w:sz w:val="28"/>
          <w:szCs w:val="28"/>
        </w:rPr>
        <w:t>Ju</w:t>
      </w:r>
      <w:r w:rsidR="00BE05F7" w:rsidRPr="008155C9">
        <w:rPr>
          <w:rFonts w:cstheme="minorHAnsi"/>
          <w:b/>
          <w:bCs/>
          <w:sz w:val="28"/>
          <w:szCs w:val="28"/>
        </w:rPr>
        <w:t>ne</w:t>
      </w:r>
      <w:r w:rsidRPr="008155C9">
        <w:rPr>
          <w:rFonts w:cstheme="minorHAnsi"/>
          <w:b/>
          <w:bCs/>
          <w:sz w:val="28"/>
          <w:szCs w:val="28"/>
        </w:rPr>
        <w:t xml:space="preserve"> 202</w:t>
      </w:r>
      <w:r w:rsidR="00BE05F7" w:rsidRPr="008155C9">
        <w:rPr>
          <w:rFonts w:cstheme="minorHAnsi"/>
          <w:b/>
          <w:bCs/>
          <w:sz w:val="28"/>
          <w:szCs w:val="28"/>
        </w:rPr>
        <w:t>6</w:t>
      </w:r>
    </w:p>
    <w:p w14:paraId="3131E10A" w14:textId="77777777" w:rsidR="00614780" w:rsidRPr="008155C9" w:rsidRDefault="00614780" w:rsidP="008155C9">
      <w:pPr>
        <w:spacing w:after="0" w:line="240" w:lineRule="auto"/>
        <w:jc w:val="center"/>
        <w:rPr>
          <w:rFonts w:cstheme="minorHAnsi"/>
          <w:b/>
          <w:bCs/>
          <w:sz w:val="28"/>
          <w:szCs w:val="28"/>
        </w:rPr>
      </w:pPr>
    </w:p>
    <w:p w14:paraId="61930EC1" w14:textId="77777777" w:rsidR="00614780" w:rsidRPr="008155C9" w:rsidRDefault="00614780" w:rsidP="008155C9">
      <w:pPr>
        <w:spacing w:after="0" w:line="240" w:lineRule="auto"/>
        <w:jc w:val="center"/>
        <w:rPr>
          <w:rFonts w:cstheme="minorHAnsi"/>
          <w:b/>
          <w:bCs/>
          <w:sz w:val="28"/>
          <w:szCs w:val="28"/>
        </w:rPr>
      </w:pPr>
    </w:p>
    <w:p w14:paraId="61A9DEF3" w14:textId="77777777" w:rsidR="00614780" w:rsidRPr="008155C9" w:rsidRDefault="00614780" w:rsidP="008155C9">
      <w:pPr>
        <w:spacing w:after="0" w:line="240" w:lineRule="auto"/>
        <w:jc w:val="center"/>
        <w:rPr>
          <w:rFonts w:cstheme="minorHAnsi"/>
          <w:b/>
          <w:bCs/>
          <w:sz w:val="28"/>
          <w:szCs w:val="28"/>
        </w:rPr>
      </w:pPr>
    </w:p>
    <w:p w14:paraId="5ADF882F" w14:textId="77777777" w:rsidR="008155C9" w:rsidRDefault="008155C9" w:rsidP="008155C9">
      <w:pPr>
        <w:spacing w:after="0" w:line="240" w:lineRule="auto"/>
        <w:jc w:val="center"/>
        <w:rPr>
          <w:rFonts w:cstheme="minorHAnsi"/>
          <w:b/>
          <w:bCs/>
          <w:sz w:val="28"/>
          <w:szCs w:val="28"/>
        </w:rPr>
      </w:pPr>
    </w:p>
    <w:p w14:paraId="3031DACB" w14:textId="77777777" w:rsidR="008155C9" w:rsidRPr="008155C9" w:rsidRDefault="008155C9" w:rsidP="008155C9">
      <w:pPr>
        <w:spacing w:after="0" w:line="240" w:lineRule="auto"/>
        <w:jc w:val="center"/>
        <w:rPr>
          <w:rFonts w:cstheme="minorHAnsi"/>
          <w:b/>
          <w:bCs/>
          <w:sz w:val="28"/>
          <w:szCs w:val="28"/>
        </w:rPr>
      </w:pPr>
    </w:p>
    <w:p w14:paraId="33D33589" w14:textId="77777777" w:rsidR="008155C9" w:rsidRPr="008155C9" w:rsidRDefault="008155C9" w:rsidP="008155C9">
      <w:pPr>
        <w:spacing w:after="0" w:line="240" w:lineRule="auto"/>
        <w:jc w:val="center"/>
        <w:rPr>
          <w:rFonts w:cstheme="minorHAnsi"/>
          <w:b/>
          <w:bCs/>
          <w:sz w:val="28"/>
          <w:szCs w:val="28"/>
        </w:rPr>
      </w:pPr>
    </w:p>
    <w:p w14:paraId="1514673A" w14:textId="77777777" w:rsidR="008155C9" w:rsidRPr="008155C9" w:rsidRDefault="008155C9" w:rsidP="008155C9">
      <w:pPr>
        <w:spacing w:after="0" w:line="240" w:lineRule="auto"/>
        <w:jc w:val="center"/>
        <w:rPr>
          <w:rFonts w:cstheme="minorHAnsi"/>
          <w:b/>
          <w:bCs/>
          <w:sz w:val="28"/>
          <w:szCs w:val="28"/>
        </w:rPr>
      </w:pPr>
    </w:p>
    <w:p w14:paraId="3C3E40DF" w14:textId="77777777" w:rsidR="008155C9" w:rsidRPr="008155C9" w:rsidRDefault="008155C9" w:rsidP="008155C9">
      <w:pPr>
        <w:spacing w:after="0" w:line="240" w:lineRule="auto"/>
        <w:jc w:val="center"/>
        <w:rPr>
          <w:rFonts w:cstheme="minorHAnsi"/>
          <w:b/>
          <w:bCs/>
          <w:sz w:val="28"/>
          <w:szCs w:val="28"/>
        </w:rPr>
      </w:pPr>
    </w:p>
    <w:p w14:paraId="305DAF7A" w14:textId="7D138278" w:rsidR="00614780" w:rsidRPr="008155C9" w:rsidRDefault="00614780" w:rsidP="008155C9">
      <w:pPr>
        <w:spacing w:after="0" w:line="240" w:lineRule="auto"/>
        <w:jc w:val="center"/>
        <w:rPr>
          <w:rFonts w:cstheme="minorHAnsi"/>
          <w:b/>
          <w:bCs/>
          <w:sz w:val="28"/>
          <w:szCs w:val="28"/>
        </w:rPr>
      </w:pPr>
    </w:p>
    <w:p w14:paraId="1521B3AA" w14:textId="708140A8" w:rsidR="00614780" w:rsidRPr="008155C9" w:rsidRDefault="008155C9" w:rsidP="008155C9">
      <w:pPr>
        <w:spacing w:after="0" w:line="240" w:lineRule="auto"/>
        <w:jc w:val="center"/>
        <w:rPr>
          <w:rFonts w:cstheme="minorHAnsi"/>
          <w:b/>
          <w:bCs/>
          <w:sz w:val="28"/>
          <w:szCs w:val="28"/>
        </w:rPr>
      </w:pPr>
      <w:r w:rsidRPr="008155C9">
        <w:rPr>
          <w:rFonts w:cstheme="minorHAnsi"/>
          <w:noProof/>
          <w:sz w:val="28"/>
          <w:szCs w:val="28"/>
        </w:rPr>
        <w:drawing>
          <wp:anchor distT="0" distB="0" distL="114300" distR="114300" simplePos="0" relativeHeight="251659264" behindDoc="0" locked="0" layoutInCell="1" allowOverlap="1" wp14:anchorId="4BFD064F" wp14:editId="2408DCB1">
            <wp:simplePos x="0" y="0"/>
            <wp:positionH relativeFrom="margin">
              <wp:align>center</wp:align>
            </wp:positionH>
            <wp:positionV relativeFrom="paragraph">
              <wp:posOffset>52070</wp:posOffset>
            </wp:positionV>
            <wp:extent cx="802640" cy="802640"/>
            <wp:effectExtent l="0" t="0" r="0" b="0"/>
            <wp:wrapThrough wrapText="bothSides">
              <wp:wrapPolygon edited="0">
                <wp:start x="0" y="0"/>
                <wp:lineTo x="0" y="16405"/>
                <wp:lineTo x="3076" y="16405"/>
                <wp:lineTo x="3076" y="20506"/>
                <wp:lineTo x="19994" y="20506"/>
                <wp:lineTo x="19481" y="4614"/>
                <wp:lineTo x="16918" y="0"/>
                <wp:lineTo x="0" y="0"/>
              </wp:wrapPolygon>
            </wp:wrapThrough>
            <wp:docPr id="1" name="Picture 1" descr="A blue and pink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pink square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F63A27" w14:textId="77777777" w:rsidR="00614780" w:rsidRPr="008155C9" w:rsidRDefault="00614780" w:rsidP="008155C9">
      <w:pPr>
        <w:spacing w:after="0" w:line="240" w:lineRule="auto"/>
        <w:jc w:val="center"/>
        <w:rPr>
          <w:rFonts w:cstheme="minorHAnsi"/>
          <w:b/>
          <w:bCs/>
          <w:sz w:val="28"/>
          <w:szCs w:val="28"/>
        </w:rPr>
      </w:pPr>
      <w:r w:rsidRPr="008155C9">
        <w:rPr>
          <w:rFonts w:cstheme="minorHAnsi"/>
          <w:b/>
          <w:bCs/>
          <w:sz w:val="28"/>
          <w:szCs w:val="28"/>
        </w:rPr>
        <w:t xml:space="preserve">  </w:t>
      </w:r>
    </w:p>
    <w:p w14:paraId="7B3C49F6" w14:textId="77777777" w:rsidR="008155C9" w:rsidRPr="008155C9" w:rsidRDefault="008155C9" w:rsidP="008155C9">
      <w:pPr>
        <w:spacing w:after="0" w:line="240" w:lineRule="auto"/>
        <w:jc w:val="center"/>
        <w:rPr>
          <w:rFonts w:cstheme="minorHAnsi"/>
          <w:b/>
          <w:bCs/>
          <w:sz w:val="28"/>
          <w:szCs w:val="28"/>
        </w:rPr>
      </w:pPr>
    </w:p>
    <w:p w14:paraId="17BE2C65" w14:textId="77777777" w:rsidR="008155C9" w:rsidRPr="008155C9" w:rsidRDefault="008155C9" w:rsidP="008155C9">
      <w:pPr>
        <w:spacing w:after="0" w:line="240" w:lineRule="auto"/>
        <w:jc w:val="center"/>
        <w:rPr>
          <w:rFonts w:cstheme="minorHAnsi"/>
          <w:b/>
          <w:bCs/>
          <w:sz w:val="28"/>
          <w:szCs w:val="28"/>
        </w:rPr>
      </w:pPr>
    </w:p>
    <w:p w14:paraId="2921C941" w14:textId="77777777" w:rsidR="00614780" w:rsidRPr="008155C9" w:rsidRDefault="00614780" w:rsidP="008155C9">
      <w:pPr>
        <w:spacing w:after="0" w:line="240" w:lineRule="auto"/>
        <w:jc w:val="center"/>
        <w:rPr>
          <w:rFonts w:cstheme="minorHAnsi"/>
          <w:b/>
          <w:bCs/>
          <w:sz w:val="28"/>
          <w:szCs w:val="28"/>
        </w:rPr>
      </w:pPr>
      <w:r w:rsidRPr="008155C9">
        <w:rPr>
          <w:rFonts w:cstheme="minorHAnsi"/>
          <w:b/>
          <w:bCs/>
          <w:sz w:val="28"/>
          <w:szCs w:val="28"/>
        </w:rPr>
        <w:t>The Hunger Project Bangladesh</w:t>
      </w:r>
    </w:p>
    <w:p w14:paraId="10328959" w14:textId="7E5C612A" w:rsidR="00FB154C" w:rsidRDefault="00614780" w:rsidP="008155C9">
      <w:pPr>
        <w:spacing w:after="0" w:line="240" w:lineRule="auto"/>
        <w:jc w:val="center"/>
        <w:rPr>
          <w:rFonts w:cstheme="minorHAnsi"/>
          <w:sz w:val="28"/>
          <w:szCs w:val="28"/>
        </w:rPr>
      </w:pPr>
      <w:r w:rsidRPr="008155C9">
        <w:rPr>
          <w:rFonts w:cstheme="minorHAnsi"/>
          <w:sz w:val="28"/>
          <w:szCs w:val="28"/>
        </w:rPr>
        <w:t>2/2 Heraldic Heights, Mirpur Road, Mohammadpur, Dhaka -1207</w:t>
      </w:r>
    </w:p>
    <w:p w14:paraId="0D6FBA1F" w14:textId="7BB5228B" w:rsidR="007F28EC" w:rsidRDefault="007F28EC" w:rsidP="007F28EC">
      <w:pPr>
        <w:spacing w:after="0" w:line="240" w:lineRule="auto"/>
        <w:jc w:val="center"/>
        <w:rPr>
          <w:rFonts w:cstheme="minorHAnsi"/>
          <w:sz w:val="28"/>
          <w:szCs w:val="28"/>
        </w:rPr>
      </w:pPr>
      <w:r w:rsidRPr="007F28EC">
        <w:rPr>
          <w:rFonts w:cstheme="minorHAnsi"/>
          <w:sz w:val="28"/>
          <w:szCs w:val="28"/>
        </w:rPr>
        <w:t>Phone: 02222243955, 02222243956</w:t>
      </w:r>
      <w:r>
        <w:rPr>
          <w:rFonts w:cstheme="minorHAnsi"/>
          <w:sz w:val="28"/>
          <w:szCs w:val="28"/>
        </w:rPr>
        <w:t xml:space="preserve">, </w:t>
      </w:r>
      <w:r w:rsidRPr="007F28EC">
        <w:rPr>
          <w:rFonts w:cstheme="minorHAnsi"/>
          <w:sz w:val="28"/>
          <w:szCs w:val="28"/>
        </w:rPr>
        <w:t xml:space="preserve">Email: </w:t>
      </w:r>
      <w:hyperlink r:id="rId12" w:history="1">
        <w:r w:rsidRPr="00A703E0">
          <w:rPr>
            <w:rStyle w:val="Hyperlink"/>
            <w:rFonts w:cstheme="minorHAnsi"/>
            <w:sz w:val="28"/>
            <w:szCs w:val="28"/>
          </w:rPr>
          <w:t>infobd@thp.org</w:t>
        </w:r>
      </w:hyperlink>
      <w:r>
        <w:rPr>
          <w:rFonts w:cstheme="minorHAnsi"/>
          <w:sz w:val="28"/>
          <w:szCs w:val="28"/>
        </w:rPr>
        <w:t xml:space="preserve"> </w:t>
      </w:r>
    </w:p>
    <w:p w14:paraId="657E0E63" w14:textId="77777777" w:rsidR="004D0C08" w:rsidRPr="008155C9" w:rsidRDefault="004D0C08" w:rsidP="008155C9">
      <w:pPr>
        <w:spacing w:after="0" w:line="240" w:lineRule="auto"/>
        <w:jc w:val="center"/>
        <w:rPr>
          <w:rFonts w:cstheme="minorHAnsi"/>
          <w:sz w:val="28"/>
          <w:szCs w:val="28"/>
        </w:rPr>
      </w:pPr>
    </w:p>
    <w:p w14:paraId="276B39D5" w14:textId="77777777" w:rsidR="000A0622" w:rsidRDefault="00FB154C" w:rsidP="008155C9">
      <w:pPr>
        <w:spacing w:after="0" w:line="240" w:lineRule="auto"/>
        <w:rPr>
          <w:rFonts w:cstheme="minorHAnsi"/>
        </w:rPr>
        <w:sectPr w:rsidR="000A0622" w:rsidSect="004A439F">
          <w:pgSz w:w="12240" w:h="15840"/>
          <w:pgMar w:top="1440" w:right="1440" w:bottom="1440" w:left="1440" w:header="720" w:footer="720" w:gutter="0"/>
          <w:cols w:space="720"/>
          <w:docGrid w:linePitch="360"/>
        </w:sectPr>
      </w:pPr>
      <w:r w:rsidRPr="008155C9">
        <w:rPr>
          <w:rFonts w:cstheme="minorHAnsi"/>
        </w:rPr>
        <w:br w:type="page"/>
      </w:r>
    </w:p>
    <w:p w14:paraId="37CE2084" w14:textId="4A485E1C" w:rsidR="00D30A02" w:rsidRPr="008155C9" w:rsidRDefault="00D30A02" w:rsidP="008155C9">
      <w:pPr>
        <w:pStyle w:val="ListParagraph"/>
        <w:numPr>
          <w:ilvl w:val="0"/>
          <w:numId w:val="21"/>
        </w:numPr>
        <w:spacing w:after="0" w:line="240" w:lineRule="auto"/>
        <w:rPr>
          <w:rFonts w:cstheme="minorHAnsi"/>
          <w:b/>
          <w:bCs/>
          <w:sz w:val="22"/>
          <w:szCs w:val="22"/>
        </w:rPr>
      </w:pPr>
      <w:r w:rsidRPr="008155C9">
        <w:rPr>
          <w:rFonts w:cstheme="minorHAnsi"/>
          <w:b/>
          <w:bCs/>
          <w:sz w:val="22"/>
          <w:szCs w:val="22"/>
        </w:rPr>
        <w:lastRenderedPageBreak/>
        <w:t>About The Hunger Project Bangladesh</w:t>
      </w:r>
    </w:p>
    <w:p w14:paraId="571ACA98" w14:textId="2F5D030E" w:rsidR="00D30A02" w:rsidRDefault="00D30A02" w:rsidP="008155C9">
      <w:pPr>
        <w:spacing w:after="0" w:line="240" w:lineRule="auto"/>
        <w:jc w:val="both"/>
        <w:rPr>
          <w:rFonts w:cstheme="minorHAnsi"/>
        </w:rPr>
      </w:pPr>
      <w:r w:rsidRPr="008155C9">
        <w:rPr>
          <w:rFonts w:cstheme="minorHAnsi"/>
        </w:rPr>
        <w:t xml:space="preserve">The Hunger Project (THP) began its global journey in 1977 in New York City as an international volunteer-based organization committed to ending hunger and poverty. With consultative status at the United Nations since 1985, THP now operates in 22 countries across Asia, Africa, Latin America, Europe and Australia. Guided by the conviction that sustainable development begins with people themselves, THP is not a conventional NGO or donor </w:t>
      </w:r>
      <w:r w:rsidR="00CB795D" w:rsidRPr="008155C9">
        <w:rPr>
          <w:rFonts w:cstheme="minorHAnsi"/>
        </w:rPr>
        <w:t>agency</w:t>
      </w:r>
      <w:r w:rsidR="00CB795D">
        <w:rPr>
          <w:rFonts w:cstheme="minorHAnsi"/>
        </w:rPr>
        <w:t xml:space="preserve">- </w:t>
      </w:r>
      <w:r w:rsidRPr="008155C9">
        <w:rPr>
          <w:rFonts w:cstheme="minorHAnsi"/>
        </w:rPr>
        <w:t>it is a belief, a commitment and a grassroots movement.</w:t>
      </w:r>
    </w:p>
    <w:p w14:paraId="220BB1B6" w14:textId="77777777" w:rsidR="008155C9" w:rsidRPr="008155C9" w:rsidRDefault="008155C9" w:rsidP="008155C9">
      <w:pPr>
        <w:spacing w:after="0" w:line="240" w:lineRule="auto"/>
        <w:jc w:val="both"/>
        <w:rPr>
          <w:rFonts w:cstheme="minorHAnsi"/>
        </w:rPr>
      </w:pPr>
    </w:p>
    <w:p w14:paraId="39DB03A8" w14:textId="77777777" w:rsidR="00D30A02" w:rsidRDefault="00D30A02" w:rsidP="008155C9">
      <w:pPr>
        <w:spacing w:after="0" w:line="240" w:lineRule="auto"/>
        <w:jc w:val="both"/>
        <w:rPr>
          <w:rFonts w:cstheme="minorHAnsi"/>
        </w:rPr>
      </w:pPr>
      <w:r w:rsidRPr="008155C9">
        <w:rPr>
          <w:rFonts w:cstheme="minorHAnsi"/>
        </w:rPr>
        <w:t>THP Bangladesh started its work in 1991 after registration with the NGO Affairs Bureau (Reg# 557). Since then, it has evolved into the country’s largest volunteer-driven development movement, rooted in the belief that every human being is born with immense potential. If people are given the opportunity to develop their inner capacities and empowered from within, they can take charge of their own lives, become the architects of their own future, and lead transformational change in their communities.</w:t>
      </w:r>
    </w:p>
    <w:p w14:paraId="7EAF438F" w14:textId="77777777" w:rsidR="008155C9" w:rsidRPr="008155C9" w:rsidRDefault="008155C9" w:rsidP="008155C9">
      <w:pPr>
        <w:spacing w:after="0" w:line="240" w:lineRule="auto"/>
        <w:jc w:val="both"/>
        <w:rPr>
          <w:rFonts w:cstheme="minorHAnsi"/>
        </w:rPr>
      </w:pPr>
    </w:p>
    <w:p w14:paraId="22282717" w14:textId="6D98A745" w:rsidR="00D30A02" w:rsidRPr="008155C9" w:rsidRDefault="00D30A02" w:rsidP="008155C9">
      <w:pPr>
        <w:spacing w:after="0" w:line="240" w:lineRule="auto"/>
        <w:jc w:val="both"/>
        <w:rPr>
          <w:rFonts w:cstheme="minorHAnsi"/>
        </w:rPr>
      </w:pPr>
      <w:r w:rsidRPr="008155C9">
        <w:rPr>
          <w:rFonts w:cstheme="minorHAnsi"/>
        </w:rPr>
        <w:t>With a presence in 10 regional offices and a national office in Dhaka, THP Bangladesh is supported by a dynamic coalition of grassroots leaders, youth activists, development professionals, bilateral partners, and global citizens. Together, they work to spark a nationwide awakening</w:t>
      </w:r>
      <w:r w:rsidR="00311CD2">
        <w:rPr>
          <w:rFonts w:cstheme="minorHAnsi"/>
        </w:rPr>
        <w:t xml:space="preserve">, </w:t>
      </w:r>
      <w:r w:rsidRPr="008155C9">
        <w:rPr>
          <w:rFonts w:cstheme="minorHAnsi"/>
        </w:rPr>
        <w:t>mobilizing individuals and communities to take collective action against hunger and poverty through creativity, self-reliance and leadership.</w:t>
      </w:r>
    </w:p>
    <w:p w14:paraId="2F2BDE41" w14:textId="77777777" w:rsidR="00D30A02" w:rsidRPr="008155C9" w:rsidRDefault="00D30A02" w:rsidP="008155C9">
      <w:pPr>
        <w:spacing w:after="0" w:line="240" w:lineRule="auto"/>
        <w:jc w:val="both"/>
        <w:rPr>
          <w:rFonts w:eastAsia="Times New Roman" w:cstheme="minorHAnsi"/>
          <w:highlight w:val="white"/>
        </w:rPr>
      </w:pPr>
    </w:p>
    <w:p w14:paraId="4BC08010" w14:textId="07ABF356" w:rsidR="005745D0" w:rsidRPr="008155C9" w:rsidRDefault="00BA6F5D" w:rsidP="008155C9">
      <w:pPr>
        <w:pStyle w:val="ListParagraph"/>
        <w:numPr>
          <w:ilvl w:val="0"/>
          <w:numId w:val="21"/>
        </w:numPr>
        <w:spacing w:after="0" w:line="240" w:lineRule="auto"/>
        <w:rPr>
          <w:rFonts w:cstheme="minorHAnsi"/>
          <w:b/>
          <w:bCs/>
          <w:sz w:val="22"/>
          <w:szCs w:val="22"/>
        </w:rPr>
      </w:pPr>
      <w:r w:rsidRPr="008155C9">
        <w:rPr>
          <w:rFonts w:cstheme="minorHAnsi"/>
          <w:b/>
          <w:bCs/>
          <w:sz w:val="22"/>
          <w:szCs w:val="22"/>
        </w:rPr>
        <w:t>Project Background</w:t>
      </w:r>
    </w:p>
    <w:p w14:paraId="64C93F6E" w14:textId="0D023FC5" w:rsidR="00D33CA4" w:rsidRPr="008155C9" w:rsidRDefault="00D33CA4" w:rsidP="008155C9">
      <w:pPr>
        <w:widowControl w:val="0"/>
        <w:spacing w:after="0" w:line="240" w:lineRule="auto"/>
        <w:jc w:val="both"/>
        <w:rPr>
          <w:rFonts w:cstheme="minorHAnsi"/>
          <w:color w:val="000000"/>
        </w:rPr>
      </w:pPr>
      <w:r w:rsidRPr="008155C9">
        <w:rPr>
          <w:rFonts w:cstheme="minorHAnsi"/>
        </w:rPr>
        <w:t xml:space="preserve">The </w:t>
      </w:r>
      <w:r w:rsidR="00927622" w:rsidRPr="008155C9">
        <w:rPr>
          <w:rFonts w:cstheme="minorHAnsi"/>
        </w:rPr>
        <w:t xml:space="preserve">project </w:t>
      </w:r>
      <w:r w:rsidRPr="008155C9">
        <w:rPr>
          <w:rFonts w:cstheme="minorHAnsi"/>
          <w:b/>
          <w:bCs/>
        </w:rPr>
        <w:t>“</w:t>
      </w:r>
      <w:r w:rsidRPr="008155C9">
        <w:rPr>
          <w:rFonts w:cstheme="minorHAnsi"/>
          <w:b/>
        </w:rPr>
        <w:t xml:space="preserve">Shaping </w:t>
      </w:r>
      <w:r w:rsidR="00270178" w:rsidRPr="008155C9">
        <w:rPr>
          <w:rFonts w:cstheme="minorHAnsi"/>
          <w:b/>
        </w:rPr>
        <w:t>Political Change- Strengthening Girls' Rights, Ending Child Marriage</w:t>
      </w:r>
      <w:r w:rsidRPr="008155C9">
        <w:rPr>
          <w:rFonts w:cstheme="minorHAnsi"/>
          <w:b/>
        </w:rPr>
        <w:t>”</w:t>
      </w:r>
      <w:r w:rsidRPr="008155C9">
        <w:rPr>
          <w:rFonts w:cstheme="minorHAnsi"/>
        </w:rPr>
        <w:t xml:space="preserve"> </w:t>
      </w:r>
      <w:r w:rsidR="002E3839" w:rsidRPr="00FE3B6B">
        <w:rPr>
          <w:rFonts w:cstheme="minorHAnsi"/>
        </w:rPr>
        <w:t xml:space="preserve">funded by </w:t>
      </w:r>
      <w:r w:rsidR="00FE3B6B" w:rsidRPr="00FE3B6B">
        <w:rPr>
          <w:rFonts w:cstheme="minorHAnsi"/>
          <w:b/>
          <w:bCs/>
        </w:rPr>
        <w:t>BMZ (</w:t>
      </w:r>
      <w:r w:rsidR="00FE3B6B" w:rsidRPr="00FE3B6B">
        <w:rPr>
          <w:rFonts w:cstheme="minorHAnsi"/>
          <w:b/>
          <w:bCs/>
          <w:lang w:val="de-DE"/>
        </w:rPr>
        <w:t>German Ministry for Economic Cooperation and Development)</w:t>
      </w:r>
      <w:r w:rsidR="002E3839" w:rsidRPr="00FE3B6B">
        <w:rPr>
          <w:rFonts w:cstheme="minorHAnsi"/>
        </w:rPr>
        <w:t>,</w:t>
      </w:r>
      <w:r w:rsidR="002E3839">
        <w:rPr>
          <w:rFonts w:cstheme="minorHAnsi"/>
        </w:rPr>
        <w:t xml:space="preserve"> </w:t>
      </w:r>
      <w:r w:rsidRPr="008155C9">
        <w:rPr>
          <w:rFonts w:cstheme="minorHAnsi"/>
        </w:rPr>
        <w:t xml:space="preserve">will be implemented in Bangladesh </w:t>
      </w:r>
      <w:r w:rsidR="002E3839">
        <w:rPr>
          <w:rFonts w:cstheme="minorHAnsi"/>
        </w:rPr>
        <w:t xml:space="preserve">by THP Bangladesh </w:t>
      </w:r>
      <w:r w:rsidRPr="008155C9">
        <w:rPr>
          <w:rFonts w:cstheme="minorHAnsi"/>
        </w:rPr>
        <w:t xml:space="preserve">for over </w:t>
      </w:r>
      <w:r w:rsidR="00665B2B" w:rsidRPr="008155C9">
        <w:rPr>
          <w:rFonts w:cstheme="minorHAnsi"/>
        </w:rPr>
        <w:t>3</w:t>
      </w:r>
      <w:r w:rsidRPr="008155C9">
        <w:rPr>
          <w:rFonts w:cstheme="minorHAnsi"/>
        </w:rPr>
        <w:t xml:space="preserve"> years (</w:t>
      </w:r>
      <w:r w:rsidR="00665B2B" w:rsidRPr="008155C9">
        <w:rPr>
          <w:rFonts w:cstheme="minorHAnsi"/>
        </w:rPr>
        <w:t>Ma</w:t>
      </w:r>
      <w:r w:rsidRPr="008155C9">
        <w:rPr>
          <w:rFonts w:cstheme="minorHAnsi"/>
        </w:rPr>
        <w:t>y 20</w:t>
      </w:r>
      <w:r w:rsidR="00665B2B" w:rsidRPr="008155C9">
        <w:rPr>
          <w:rFonts w:cstheme="minorHAnsi"/>
        </w:rPr>
        <w:t>26</w:t>
      </w:r>
      <w:r w:rsidR="00D026B9" w:rsidRPr="008155C9">
        <w:rPr>
          <w:rFonts w:cstheme="minorHAnsi"/>
        </w:rPr>
        <w:t xml:space="preserve"> </w:t>
      </w:r>
      <w:r w:rsidRPr="008155C9">
        <w:rPr>
          <w:rFonts w:cstheme="minorHAnsi"/>
        </w:rPr>
        <w:t>-</w:t>
      </w:r>
      <w:r w:rsidR="005D47ED" w:rsidRPr="008155C9">
        <w:rPr>
          <w:rFonts w:cstheme="minorHAnsi"/>
        </w:rPr>
        <w:t xml:space="preserve"> </w:t>
      </w:r>
      <w:r w:rsidR="002151FE" w:rsidRPr="008155C9">
        <w:rPr>
          <w:rFonts w:cstheme="minorHAnsi"/>
        </w:rPr>
        <w:t>April</w:t>
      </w:r>
      <w:r w:rsidRPr="008155C9">
        <w:rPr>
          <w:rFonts w:cstheme="minorHAnsi"/>
        </w:rPr>
        <w:t xml:space="preserve"> 202</w:t>
      </w:r>
      <w:r w:rsidR="002151FE" w:rsidRPr="008155C9">
        <w:rPr>
          <w:rFonts w:cstheme="minorHAnsi"/>
        </w:rPr>
        <w:t>9</w:t>
      </w:r>
      <w:r w:rsidRPr="008155C9">
        <w:rPr>
          <w:rFonts w:cstheme="minorHAnsi"/>
        </w:rPr>
        <w:t xml:space="preserve">). </w:t>
      </w:r>
      <w:r w:rsidR="00BF2D69" w:rsidRPr="008155C9">
        <w:rPr>
          <w:rFonts w:cstheme="minorHAnsi"/>
        </w:rPr>
        <w:t>This is the second phase of the project</w:t>
      </w:r>
      <w:r w:rsidR="00110DEF" w:rsidRPr="008155C9">
        <w:rPr>
          <w:rFonts w:cstheme="minorHAnsi"/>
        </w:rPr>
        <w:t xml:space="preserve">, building on phase 1 implemented in 14 Unions across Tangail and </w:t>
      </w:r>
      <w:proofErr w:type="spellStart"/>
      <w:r w:rsidR="00110DEF" w:rsidRPr="008155C9">
        <w:rPr>
          <w:rFonts w:cstheme="minorHAnsi"/>
        </w:rPr>
        <w:t>Barishal</w:t>
      </w:r>
      <w:proofErr w:type="spellEnd"/>
      <w:r w:rsidR="00110DEF" w:rsidRPr="008155C9">
        <w:rPr>
          <w:rFonts w:cstheme="minorHAnsi"/>
        </w:rPr>
        <w:t xml:space="preserve"> (2022-2025). </w:t>
      </w:r>
      <w:r w:rsidR="00721F2D" w:rsidRPr="008155C9">
        <w:rPr>
          <w:rFonts w:cstheme="minorHAnsi"/>
        </w:rPr>
        <w:t>By the end of the project</w:t>
      </w:r>
      <w:r w:rsidR="00C63507" w:rsidRPr="008155C9">
        <w:rPr>
          <w:rFonts w:cstheme="minorHAnsi"/>
        </w:rPr>
        <w:t xml:space="preserve">, </w:t>
      </w:r>
      <w:r w:rsidR="00721F2D" w:rsidRPr="008155C9">
        <w:rPr>
          <w:rFonts w:cstheme="minorHAnsi"/>
        </w:rPr>
        <w:t xml:space="preserve">rural communities in 32 </w:t>
      </w:r>
      <w:r w:rsidR="00110DEF" w:rsidRPr="008155C9">
        <w:rPr>
          <w:rFonts w:cstheme="minorHAnsi"/>
        </w:rPr>
        <w:t>U</w:t>
      </w:r>
      <w:r w:rsidR="00721F2D" w:rsidRPr="008155C9">
        <w:rPr>
          <w:rFonts w:cstheme="minorHAnsi"/>
        </w:rPr>
        <w:t xml:space="preserve">nions in </w:t>
      </w:r>
      <w:proofErr w:type="spellStart"/>
      <w:r w:rsidR="00721F2D" w:rsidRPr="00CB795D">
        <w:rPr>
          <w:rFonts w:cstheme="minorHAnsi"/>
        </w:rPr>
        <w:t>Baris</w:t>
      </w:r>
      <w:r w:rsidR="00110DEF" w:rsidRPr="00CB795D">
        <w:rPr>
          <w:rFonts w:cstheme="minorHAnsi"/>
        </w:rPr>
        <w:t>h</w:t>
      </w:r>
      <w:r w:rsidR="00721F2D" w:rsidRPr="00CB795D">
        <w:rPr>
          <w:rFonts w:cstheme="minorHAnsi"/>
        </w:rPr>
        <w:t>al</w:t>
      </w:r>
      <w:proofErr w:type="spellEnd"/>
      <w:r w:rsidR="00721F2D" w:rsidRPr="00CB795D">
        <w:rPr>
          <w:rFonts w:cstheme="minorHAnsi"/>
        </w:rPr>
        <w:t>, Jhal</w:t>
      </w:r>
      <w:r w:rsidR="00CB795D" w:rsidRPr="00CB795D">
        <w:rPr>
          <w:rFonts w:cstheme="minorHAnsi"/>
        </w:rPr>
        <w:t>o</w:t>
      </w:r>
      <w:r w:rsidR="00721F2D" w:rsidRPr="00CB795D">
        <w:rPr>
          <w:rFonts w:cstheme="minorHAnsi"/>
        </w:rPr>
        <w:t>kathi and Tangail</w:t>
      </w:r>
      <w:r w:rsidR="00721F2D" w:rsidRPr="008155C9">
        <w:rPr>
          <w:rFonts w:cstheme="minorHAnsi"/>
        </w:rPr>
        <w:t xml:space="preserve"> districts </w:t>
      </w:r>
      <w:r w:rsidR="00110DEF" w:rsidRPr="008155C9">
        <w:rPr>
          <w:rFonts w:cstheme="minorHAnsi"/>
        </w:rPr>
        <w:t xml:space="preserve">will </w:t>
      </w:r>
      <w:r w:rsidR="00721F2D" w:rsidRPr="008155C9">
        <w:rPr>
          <w:rFonts w:cstheme="minorHAnsi"/>
        </w:rPr>
        <w:t>provide a more protective and enabling environment in which adolescent girls can stay in education, exercise their SRHR and are less exposed to child marriage risks-including those linked to poverty, disasters, safety concerns and digital/cyber threats-through strengthened community-led and institutional mechanisms.</w:t>
      </w:r>
      <w:r w:rsidR="00500CF6" w:rsidRPr="008155C9">
        <w:rPr>
          <w:rFonts w:cstheme="minorHAnsi"/>
        </w:rPr>
        <w:t xml:space="preserve"> </w:t>
      </w:r>
      <w:r w:rsidR="002151FE" w:rsidRPr="008155C9">
        <w:rPr>
          <w:rFonts w:cstheme="minorHAnsi"/>
        </w:rPr>
        <w:t xml:space="preserve">Bangladesh country office </w:t>
      </w:r>
      <w:r w:rsidRPr="008155C9">
        <w:rPr>
          <w:rFonts w:cstheme="minorHAnsi"/>
          <w:color w:val="000000"/>
        </w:rPr>
        <w:t xml:space="preserve">provides </w:t>
      </w:r>
      <w:r w:rsidR="00B77EAA" w:rsidRPr="008155C9">
        <w:rPr>
          <w:rFonts w:cstheme="minorHAnsi"/>
          <w:color w:val="000000"/>
        </w:rPr>
        <w:t>S</w:t>
      </w:r>
      <w:r w:rsidR="00C63507" w:rsidRPr="008155C9">
        <w:rPr>
          <w:rFonts w:cstheme="minorHAnsi"/>
          <w:color w:val="000000"/>
        </w:rPr>
        <w:t xml:space="preserve">exual </w:t>
      </w:r>
      <w:r w:rsidR="00B77EAA" w:rsidRPr="008155C9">
        <w:rPr>
          <w:rFonts w:cstheme="minorHAnsi"/>
          <w:color w:val="000000"/>
        </w:rPr>
        <w:t>R</w:t>
      </w:r>
      <w:r w:rsidR="00C63507" w:rsidRPr="008155C9">
        <w:rPr>
          <w:rFonts w:cstheme="minorHAnsi"/>
          <w:color w:val="000000"/>
        </w:rPr>
        <w:t xml:space="preserve">eproductive </w:t>
      </w:r>
      <w:r w:rsidR="00B77EAA" w:rsidRPr="008155C9">
        <w:rPr>
          <w:rFonts w:cstheme="minorHAnsi"/>
          <w:color w:val="000000"/>
        </w:rPr>
        <w:t>H</w:t>
      </w:r>
      <w:r w:rsidR="00C63507" w:rsidRPr="008155C9">
        <w:rPr>
          <w:rFonts w:cstheme="minorHAnsi"/>
          <w:color w:val="000000"/>
        </w:rPr>
        <w:t xml:space="preserve">ealth and </w:t>
      </w:r>
      <w:r w:rsidR="00B77EAA" w:rsidRPr="008155C9">
        <w:rPr>
          <w:rFonts w:cstheme="minorHAnsi"/>
          <w:color w:val="000000"/>
        </w:rPr>
        <w:t>R</w:t>
      </w:r>
      <w:r w:rsidR="00C63507" w:rsidRPr="008155C9">
        <w:rPr>
          <w:rFonts w:cstheme="minorHAnsi"/>
          <w:color w:val="000000"/>
        </w:rPr>
        <w:t>ights</w:t>
      </w:r>
      <w:r w:rsidR="00B77EAA" w:rsidRPr="008155C9">
        <w:rPr>
          <w:rFonts w:cstheme="minorHAnsi"/>
          <w:color w:val="000000"/>
        </w:rPr>
        <w:t xml:space="preserve"> </w:t>
      </w:r>
      <w:r w:rsidR="00500CF6" w:rsidRPr="008155C9">
        <w:rPr>
          <w:rFonts w:cstheme="minorHAnsi"/>
          <w:color w:val="000000"/>
        </w:rPr>
        <w:t xml:space="preserve">(SRHR) </w:t>
      </w:r>
      <w:r w:rsidR="00B77EAA" w:rsidRPr="008155C9">
        <w:rPr>
          <w:rFonts w:cstheme="minorHAnsi"/>
          <w:color w:val="000000"/>
        </w:rPr>
        <w:t>training</w:t>
      </w:r>
      <w:r w:rsidR="00C804A8" w:rsidRPr="008155C9">
        <w:rPr>
          <w:rFonts w:cstheme="minorHAnsi"/>
          <w:color w:val="000000"/>
        </w:rPr>
        <w:t xml:space="preserve">, </w:t>
      </w:r>
      <w:r w:rsidR="00C804A8" w:rsidRPr="008155C9">
        <w:rPr>
          <w:rFonts w:cstheme="minorHAnsi"/>
        </w:rPr>
        <w:t>C</w:t>
      </w:r>
      <w:r w:rsidR="00C63507" w:rsidRPr="008155C9">
        <w:rPr>
          <w:rFonts w:cstheme="minorHAnsi"/>
        </w:rPr>
        <w:t xml:space="preserve">hild </w:t>
      </w:r>
      <w:r w:rsidR="00C804A8" w:rsidRPr="008155C9">
        <w:rPr>
          <w:rFonts w:cstheme="minorHAnsi"/>
        </w:rPr>
        <w:t>M</w:t>
      </w:r>
      <w:r w:rsidR="00C63507" w:rsidRPr="008155C9">
        <w:rPr>
          <w:rFonts w:cstheme="minorHAnsi"/>
        </w:rPr>
        <w:t xml:space="preserve">arriage </w:t>
      </w:r>
      <w:r w:rsidR="00C804A8" w:rsidRPr="008155C9">
        <w:rPr>
          <w:rFonts w:cstheme="minorHAnsi"/>
        </w:rPr>
        <w:t>R</w:t>
      </w:r>
      <w:r w:rsidR="00C63507" w:rsidRPr="008155C9">
        <w:rPr>
          <w:rFonts w:cstheme="minorHAnsi"/>
        </w:rPr>
        <w:t xml:space="preserve">estraint </w:t>
      </w:r>
      <w:r w:rsidR="00C804A8" w:rsidRPr="008155C9">
        <w:rPr>
          <w:rFonts w:cstheme="minorHAnsi"/>
        </w:rPr>
        <w:t>A</w:t>
      </w:r>
      <w:r w:rsidR="00C63507" w:rsidRPr="008155C9">
        <w:rPr>
          <w:rFonts w:cstheme="minorHAnsi"/>
        </w:rPr>
        <w:t>ct</w:t>
      </w:r>
      <w:r w:rsidR="00C804A8" w:rsidRPr="008155C9">
        <w:rPr>
          <w:rFonts w:cstheme="minorHAnsi"/>
        </w:rPr>
        <w:t xml:space="preserve"> </w:t>
      </w:r>
      <w:r w:rsidR="00195070" w:rsidRPr="008155C9">
        <w:rPr>
          <w:rFonts w:cstheme="minorHAnsi"/>
        </w:rPr>
        <w:t xml:space="preserve">2017 </w:t>
      </w:r>
      <w:r w:rsidR="00C804A8" w:rsidRPr="008155C9">
        <w:rPr>
          <w:rFonts w:cstheme="minorHAnsi"/>
        </w:rPr>
        <w:t>awareness, and digital safety knowledge</w:t>
      </w:r>
      <w:r w:rsidR="00B77EAA" w:rsidRPr="008155C9">
        <w:rPr>
          <w:rFonts w:cstheme="minorHAnsi"/>
          <w:color w:val="000000"/>
        </w:rPr>
        <w:t xml:space="preserve"> to </w:t>
      </w:r>
      <w:r w:rsidR="00C804A8" w:rsidRPr="008155C9">
        <w:rPr>
          <w:rFonts w:cstheme="minorHAnsi"/>
          <w:color w:val="000000"/>
        </w:rPr>
        <w:t>adolescent’s</w:t>
      </w:r>
      <w:r w:rsidR="00B77EAA" w:rsidRPr="008155C9">
        <w:rPr>
          <w:rFonts w:cstheme="minorHAnsi"/>
          <w:color w:val="000000"/>
        </w:rPr>
        <w:t xml:space="preserve"> girls and boys </w:t>
      </w:r>
      <w:r w:rsidR="005A010B" w:rsidRPr="008155C9">
        <w:rPr>
          <w:rFonts w:cstheme="minorHAnsi"/>
          <w:color w:val="000000"/>
        </w:rPr>
        <w:t>under 128 seconda</w:t>
      </w:r>
      <w:r w:rsidR="001B633D" w:rsidRPr="008155C9">
        <w:rPr>
          <w:rFonts w:cstheme="minorHAnsi"/>
          <w:color w:val="000000"/>
        </w:rPr>
        <w:t xml:space="preserve">ry schools </w:t>
      </w:r>
      <w:r w:rsidRPr="008155C9">
        <w:rPr>
          <w:rFonts w:cstheme="minorHAnsi"/>
          <w:color w:val="000000"/>
        </w:rPr>
        <w:t xml:space="preserve">and </w:t>
      </w:r>
      <w:r w:rsidR="00B77EAA" w:rsidRPr="008155C9">
        <w:rPr>
          <w:rFonts w:cstheme="minorHAnsi"/>
          <w:color w:val="000000"/>
        </w:rPr>
        <w:t xml:space="preserve">building </w:t>
      </w:r>
      <w:r w:rsidR="005A010B" w:rsidRPr="008155C9">
        <w:rPr>
          <w:rFonts w:cstheme="minorHAnsi"/>
          <w:color w:val="000000"/>
        </w:rPr>
        <w:t>cooperation</w:t>
      </w:r>
      <w:r w:rsidR="00B77EAA" w:rsidRPr="008155C9">
        <w:rPr>
          <w:rFonts w:cstheme="minorHAnsi"/>
          <w:color w:val="000000"/>
        </w:rPr>
        <w:t xml:space="preserve"> </w:t>
      </w:r>
      <w:r w:rsidR="00D80DCC" w:rsidRPr="008155C9">
        <w:rPr>
          <w:rFonts w:cstheme="minorHAnsi"/>
          <w:color w:val="000000"/>
        </w:rPr>
        <w:t xml:space="preserve">with community stakeholders </w:t>
      </w:r>
      <w:r w:rsidR="00B77EAA" w:rsidRPr="008155C9">
        <w:rPr>
          <w:rFonts w:cstheme="minorHAnsi"/>
          <w:color w:val="000000"/>
        </w:rPr>
        <w:t xml:space="preserve">through </w:t>
      </w:r>
      <w:r w:rsidR="001F67A1" w:rsidRPr="008155C9">
        <w:rPr>
          <w:rFonts w:cstheme="minorHAnsi"/>
          <w:color w:val="000000"/>
        </w:rPr>
        <w:t xml:space="preserve">Animators Training, awareness raising campaign, </w:t>
      </w:r>
      <w:r w:rsidR="003242D6" w:rsidRPr="008155C9">
        <w:rPr>
          <w:rFonts w:cstheme="minorHAnsi"/>
        </w:rPr>
        <w:t>e</w:t>
      </w:r>
      <w:r w:rsidR="00D72425" w:rsidRPr="008155C9">
        <w:rPr>
          <w:rFonts w:cstheme="minorHAnsi"/>
        </w:rPr>
        <w:t>conomic stabilization</w:t>
      </w:r>
      <w:r w:rsidR="003242D6" w:rsidRPr="008155C9">
        <w:rPr>
          <w:rFonts w:cstheme="minorHAnsi"/>
        </w:rPr>
        <w:t xml:space="preserve"> for parents and women leaders</w:t>
      </w:r>
      <w:r w:rsidR="00D72425" w:rsidRPr="008155C9">
        <w:rPr>
          <w:rFonts w:cstheme="minorHAnsi"/>
        </w:rPr>
        <w:t xml:space="preserve"> through I</w:t>
      </w:r>
      <w:r w:rsidR="00C63507" w:rsidRPr="008155C9">
        <w:rPr>
          <w:rFonts w:cstheme="minorHAnsi"/>
        </w:rPr>
        <w:t xml:space="preserve">ncome </w:t>
      </w:r>
      <w:r w:rsidR="00D72425" w:rsidRPr="008155C9">
        <w:rPr>
          <w:rFonts w:cstheme="minorHAnsi"/>
        </w:rPr>
        <w:t>G</w:t>
      </w:r>
      <w:r w:rsidR="00DB11F4" w:rsidRPr="008155C9">
        <w:rPr>
          <w:rFonts w:cstheme="minorHAnsi"/>
        </w:rPr>
        <w:t xml:space="preserve">enerating </w:t>
      </w:r>
      <w:r w:rsidR="00195070" w:rsidRPr="008155C9">
        <w:rPr>
          <w:rFonts w:cstheme="minorHAnsi"/>
        </w:rPr>
        <w:t xml:space="preserve">Activities </w:t>
      </w:r>
      <w:r w:rsidR="00500CF6" w:rsidRPr="008155C9">
        <w:rPr>
          <w:rFonts w:cstheme="minorHAnsi"/>
        </w:rPr>
        <w:t xml:space="preserve">(IGAs) </w:t>
      </w:r>
      <w:r w:rsidR="00237B1E" w:rsidRPr="008155C9">
        <w:rPr>
          <w:rFonts w:cstheme="minorHAnsi"/>
        </w:rPr>
        <w:t>interventions</w:t>
      </w:r>
      <w:r w:rsidR="00D72425" w:rsidRPr="008155C9">
        <w:rPr>
          <w:rFonts w:cstheme="minorHAnsi"/>
        </w:rPr>
        <w:t xml:space="preserve"> to reduce poverty-driven marriage decisions</w:t>
      </w:r>
      <w:r w:rsidR="00237B1E" w:rsidRPr="008155C9">
        <w:rPr>
          <w:rFonts w:cstheme="minorHAnsi"/>
        </w:rPr>
        <w:t>,</w:t>
      </w:r>
      <w:r w:rsidR="00D72425" w:rsidRPr="008155C9">
        <w:rPr>
          <w:rFonts w:cstheme="minorHAnsi"/>
          <w:color w:val="000000"/>
        </w:rPr>
        <w:t xml:space="preserve"> </w:t>
      </w:r>
      <w:r w:rsidR="001F67A1" w:rsidRPr="008155C9">
        <w:rPr>
          <w:rFonts w:cstheme="minorHAnsi"/>
          <w:color w:val="000000"/>
        </w:rPr>
        <w:t>strengthening local government</w:t>
      </w:r>
      <w:r w:rsidR="00DB2040" w:rsidRPr="008155C9">
        <w:rPr>
          <w:rFonts w:cstheme="minorHAnsi"/>
        </w:rPr>
        <w:t xml:space="preserve"> </w:t>
      </w:r>
      <w:r w:rsidR="008C3D90" w:rsidRPr="008155C9">
        <w:rPr>
          <w:rFonts w:cstheme="minorHAnsi"/>
        </w:rPr>
        <w:t>and f</w:t>
      </w:r>
      <w:r w:rsidR="00DB2040" w:rsidRPr="008155C9">
        <w:rPr>
          <w:rFonts w:cstheme="minorHAnsi"/>
        </w:rPr>
        <w:t>unctional Union Child Marriage Prevention Committees (UCMPCs) with clear S</w:t>
      </w:r>
      <w:r w:rsidR="00DB11F4" w:rsidRPr="008155C9">
        <w:rPr>
          <w:rFonts w:cstheme="minorHAnsi"/>
        </w:rPr>
        <w:t xml:space="preserve">tandard </w:t>
      </w:r>
      <w:r w:rsidR="00195070" w:rsidRPr="008155C9">
        <w:rPr>
          <w:rFonts w:cstheme="minorHAnsi"/>
        </w:rPr>
        <w:t>Operating</w:t>
      </w:r>
      <w:r w:rsidR="00DB11F4" w:rsidRPr="008155C9">
        <w:rPr>
          <w:rFonts w:cstheme="minorHAnsi"/>
        </w:rPr>
        <w:t xml:space="preserve"> </w:t>
      </w:r>
      <w:r w:rsidR="00DB2040" w:rsidRPr="008155C9">
        <w:rPr>
          <w:rFonts w:cstheme="minorHAnsi"/>
        </w:rPr>
        <w:t>P</w:t>
      </w:r>
      <w:r w:rsidR="00DB11F4" w:rsidRPr="008155C9">
        <w:rPr>
          <w:rFonts w:cstheme="minorHAnsi"/>
        </w:rPr>
        <w:t>rocedure</w:t>
      </w:r>
      <w:r w:rsidR="00DB2040" w:rsidRPr="008155C9">
        <w:rPr>
          <w:rFonts w:cstheme="minorHAnsi"/>
        </w:rPr>
        <w:t>s</w:t>
      </w:r>
      <w:r w:rsidR="00110DEF" w:rsidRPr="008155C9">
        <w:rPr>
          <w:rFonts w:cstheme="minorHAnsi"/>
        </w:rPr>
        <w:t xml:space="preserve"> (SOP)</w:t>
      </w:r>
      <w:r w:rsidR="00927622" w:rsidRPr="008155C9">
        <w:rPr>
          <w:rFonts w:cstheme="minorHAnsi"/>
        </w:rPr>
        <w:t>.</w:t>
      </w:r>
      <w:r w:rsidRPr="008155C9">
        <w:rPr>
          <w:rFonts w:cstheme="minorHAnsi"/>
          <w:color w:val="000000"/>
        </w:rPr>
        <w:t xml:space="preserve"> Alongside, to attain more results at the local level, </w:t>
      </w:r>
      <w:r w:rsidR="00F75CFE" w:rsidRPr="008155C9">
        <w:rPr>
          <w:rFonts w:cstheme="minorHAnsi"/>
          <w:color w:val="000000"/>
        </w:rPr>
        <w:t xml:space="preserve">THP </w:t>
      </w:r>
      <w:r w:rsidRPr="008155C9">
        <w:rPr>
          <w:rFonts w:cstheme="minorHAnsi"/>
          <w:color w:val="000000"/>
        </w:rPr>
        <w:t xml:space="preserve">will work extensively in </w:t>
      </w:r>
      <w:r w:rsidR="00F75CFE" w:rsidRPr="008155C9">
        <w:rPr>
          <w:rFonts w:cstheme="minorHAnsi"/>
          <w:color w:val="000000"/>
        </w:rPr>
        <w:t>32 Unions, 5 Upazilas and 3 D</w:t>
      </w:r>
      <w:r w:rsidRPr="008155C9">
        <w:rPr>
          <w:rFonts w:cstheme="minorHAnsi"/>
          <w:color w:val="000000"/>
        </w:rPr>
        <w:t xml:space="preserve">istricts of </w:t>
      </w:r>
      <w:r w:rsidR="00F75CFE" w:rsidRPr="008155C9">
        <w:rPr>
          <w:rFonts w:cstheme="minorHAnsi"/>
          <w:color w:val="000000"/>
        </w:rPr>
        <w:t>two</w:t>
      </w:r>
      <w:r w:rsidRPr="008155C9">
        <w:rPr>
          <w:rFonts w:cstheme="minorHAnsi"/>
          <w:color w:val="000000"/>
        </w:rPr>
        <w:t xml:space="preserve"> divisions in Bangladesh.</w:t>
      </w:r>
    </w:p>
    <w:p w14:paraId="591EC91A" w14:textId="77777777" w:rsidR="00EF716D" w:rsidRPr="008155C9" w:rsidRDefault="00EF716D" w:rsidP="008155C9">
      <w:pPr>
        <w:widowControl w:val="0"/>
        <w:spacing w:after="0" w:line="240" w:lineRule="auto"/>
        <w:jc w:val="both"/>
        <w:rPr>
          <w:rFonts w:cstheme="minorHAnsi"/>
          <w:color w:val="000000"/>
        </w:rPr>
      </w:pPr>
    </w:p>
    <w:p w14:paraId="711CD1AD" w14:textId="5C60C8EA" w:rsidR="00EF716D" w:rsidRPr="008155C9" w:rsidRDefault="00EF716D" w:rsidP="008155C9">
      <w:pPr>
        <w:pStyle w:val="ListParagraph"/>
        <w:numPr>
          <w:ilvl w:val="0"/>
          <w:numId w:val="21"/>
        </w:numPr>
        <w:spacing w:after="0" w:line="240" w:lineRule="auto"/>
        <w:rPr>
          <w:rFonts w:cstheme="minorHAnsi"/>
          <w:b/>
          <w:bCs/>
          <w:sz w:val="22"/>
          <w:szCs w:val="22"/>
        </w:rPr>
      </w:pPr>
      <w:r w:rsidRPr="008155C9">
        <w:rPr>
          <w:rFonts w:cstheme="minorHAnsi"/>
          <w:b/>
          <w:bCs/>
          <w:sz w:val="22"/>
          <w:szCs w:val="22"/>
        </w:rPr>
        <w:t xml:space="preserve">Geographical </w:t>
      </w:r>
      <w:r w:rsidR="008155C9" w:rsidRPr="008155C9">
        <w:rPr>
          <w:rFonts w:cstheme="minorHAnsi"/>
          <w:b/>
          <w:bCs/>
          <w:sz w:val="22"/>
          <w:szCs w:val="22"/>
        </w:rPr>
        <w:t xml:space="preserve">Locations </w:t>
      </w:r>
      <w:r w:rsidR="008155C9">
        <w:rPr>
          <w:rFonts w:cstheme="minorHAnsi"/>
          <w:b/>
          <w:bCs/>
          <w:sz w:val="22"/>
          <w:szCs w:val="22"/>
        </w:rPr>
        <w:t>a</w:t>
      </w:r>
      <w:r w:rsidR="008155C9" w:rsidRPr="008155C9">
        <w:rPr>
          <w:rFonts w:cstheme="minorHAnsi"/>
          <w:b/>
          <w:bCs/>
          <w:sz w:val="22"/>
          <w:szCs w:val="22"/>
        </w:rPr>
        <w:t xml:space="preserve">nd Target Project Participants </w:t>
      </w:r>
    </w:p>
    <w:p w14:paraId="3D4171D9" w14:textId="77777777" w:rsidR="008155C9" w:rsidRDefault="00EF716D" w:rsidP="008155C9">
      <w:pPr>
        <w:spacing w:after="0" w:line="240" w:lineRule="auto"/>
        <w:jc w:val="both"/>
        <w:rPr>
          <w:rFonts w:cstheme="minorHAnsi"/>
        </w:rPr>
      </w:pPr>
      <w:r w:rsidRPr="008155C9">
        <w:rPr>
          <w:rFonts w:cstheme="minorHAnsi"/>
        </w:rPr>
        <w:t>The 2</w:t>
      </w:r>
      <w:r w:rsidRPr="008155C9">
        <w:rPr>
          <w:rFonts w:cstheme="minorHAnsi"/>
          <w:vertAlign w:val="superscript"/>
        </w:rPr>
        <w:t>nd</w:t>
      </w:r>
      <w:r w:rsidRPr="008155C9">
        <w:rPr>
          <w:rFonts w:cstheme="minorHAnsi"/>
        </w:rPr>
        <w:t xml:space="preserve"> phase </w:t>
      </w:r>
      <w:r w:rsidR="00927622" w:rsidRPr="008155C9">
        <w:rPr>
          <w:rFonts w:cstheme="minorHAnsi"/>
        </w:rPr>
        <w:t xml:space="preserve">of the </w:t>
      </w:r>
      <w:r w:rsidRPr="008155C9">
        <w:rPr>
          <w:rFonts w:cstheme="minorHAnsi"/>
        </w:rPr>
        <w:t>project will be implemented in five Upazilas across three districts in Bangladesh</w:t>
      </w:r>
      <w:r w:rsidR="00C005DD" w:rsidRPr="008155C9">
        <w:rPr>
          <w:rFonts w:cstheme="minorHAnsi"/>
        </w:rPr>
        <w:t>. In the second phase, the coverage of the project has been extended</w:t>
      </w:r>
      <w:r w:rsidR="005359B7" w:rsidRPr="008155C9">
        <w:rPr>
          <w:rFonts w:cstheme="minorHAnsi"/>
        </w:rPr>
        <w:t xml:space="preserve">. Previously it was in </w:t>
      </w:r>
      <w:r w:rsidR="00236004" w:rsidRPr="008155C9">
        <w:rPr>
          <w:rFonts w:cstheme="minorHAnsi"/>
        </w:rPr>
        <w:t>32 U</w:t>
      </w:r>
      <w:r w:rsidR="005359B7" w:rsidRPr="008155C9">
        <w:rPr>
          <w:rFonts w:cstheme="minorHAnsi"/>
        </w:rPr>
        <w:t xml:space="preserve">nions and </w:t>
      </w:r>
      <w:r w:rsidR="00236004" w:rsidRPr="008155C9">
        <w:rPr>
          <w:rFonts w:cstheme="minorHAnsi"/>
        </w:rPr>
        <w:t>5 U</w:t>
      </w:r>
      <w:r w:rsidR="005359B7" w:rsidRPr="008155C9">
        <w:rPr>
          <w:rFonts w:cstheme="minorHAnsi"/>
        </w:rPr>
        <w:t>pazilas</w:t>
      </w:r>
      <w:r w:rsidR="00F002D7" w:rsidRPr="008155C9">
        <w:rPr>
          <w:rFonts w:cstheme="minorHAnsi"/>
        </w:rPr>
        <w:t xml:space="preserve"> under </w:t>
      </w:r>
      <w:r w:rsidR="00236004" w:rsidRPr="008155C9">
        <w:rPr>
          <w:rFonts w:cstheme="minorHAnsi"/>
        </w:rPr>
        <w:t>3 D</w:t>
      </w:r>
      <w:r w:rsidR="00F002D7" w:rsidRPr="008155C9">
        <w:rPr>
          <w:rFonts w:cstheme="minorHAnsi"/>
        </w:rPr>
        <w:t>istricts of Bangladesh</w:t>
      </w:r>
      <w:r w:rsidRPr="008155C9">
        <w:rPr>
          <w:rFonts w:cstheme="minorHAnsi"/>
        </w:rPr>
        <w:t>:</w:t>
      </w:r>
    </w:p>
    <w:p w14:paraId="6E0F9D03" w14:textId="77777777" w:rsidR="008155C9" w:rsidRDefault="008155C9" w:rsidP="008155C9">
      <w:pPr>
        <w:spacing w:after="0" w:line="240" w:lineRule="auto"/>
        <w:jc w:val="both"/>
        <w:rPr>
          <w:rFonts w:cstheme="minorHAnsi"/>
        </w:rPr>
      </w:pPr>
    </w:p>
    <w:p w14:paraId="28127D64" w14:textId="5DB029BC" w:rsidR="008155C9" w:rsidRPr="008155C9" w:rsidRDefault="00270178" w:rsidP="008155C9">
      <w:pPr>
        <w:pStyle w:val="ListParagraph"/>
        <w:numPr>
          <w:ilvl w:val="0"/>
          <w:numId w:val="20"/>
        </w:numPr>
        <w:spacing w:after="0" w:line="240" w:lineRule="auto"/>
        <w:jc w:val="both"/>
        <w:rPr>
          <w:rFonts w:cstheme="minorHAnsi"/>
          <w:sz w:val="22"/>
          <w:szCs w:val="22"/>
        </w:rPr>
      </w:pPr>
      <w:proofErr w:type="spellStart"/>
      <w:r>
        <w:rPr>
          <w:rFonts w:cstheme="minorHAnsi"/>
          <w:sz w:val="22"/>
          <w:szCs w:val="22"/>
        </w:rPr>
        <w:t>Barishal</w:t>
      </w:r>
      <w:proofErr w:type="spellEnd"/>
      <w:r w:rsidR="00EF716D" w:rsidRPr="008155C9">
        <w:rPr>
          <w:rFonts w:cstheme="minorHAnsi"/>
          <w:sz w:val="22"/>
          <w:szCs w:val="22"/>
        </w:rPr>
        <w:t xml:space="preserve"> District (</w:t>
      </w:r>
      <w:proofErr w:type="spellStart"/>
      <w:r w:rsidR="00EF716D" w:rsidRPr="008155C9">
        <w:rPr>
          <w:rFonts w:cstheme="minorHAnsi"/>
          <w:sz w:val="22"/>
          <w:szCs w:val="22"/>
        </w:rPr>
        <w:t>Babuganj</w:t>
      </w:r>
      <w:proofErr w:type="spellEnd"/>
      <w:r w:rsidR="00EF716D" w:rsidRPr="008155C9">
        <w:rPr>
          <w:rFonts w:cstheme="minorHAnsi"/>
          <w:sz w:val="22"/>
          <w:szCs w:val="22"/>
        </w:rPr>
        <w:t xml:space="preserve"> and </w:t>
      </w:r>
      <w:proofErr w:type="spellStart"/>
      <w:r w:rsidR="00EF716D" w:rsidRPr="008155C9">
        <w:rPr>
          <w:rFonts w:cstheme="minorHAnsi"/>
          <w:sz w:val="22"/>
          <w:szCs w:val="22"/>
        </w:rPr>
        <w:t>Agailjhara</w:t>
      </w:r>
      <w:proofErr w:type="spellEnd"/>
      <w:r w:rsidR="00EF716D" w:rsidRPr="008155C9">
        <w:rPr>
          <w:rFonts w:cstheme="minorHAnsi"/>
          <w:sz w:val="22"/>
          <w:szCs w:val="22"/>
        </w:rPr>
        <w:t xml:space="preserve"> Upazila)</w:t>
      </w:r>
    </w:p>
    <w:p w14:paraId="05CE7ABE" w14:textId="776B97BD" w:rsidR="008155C9" w:rsidRPr="008155C9" w:rsidRDefault="00EF716D" w:rsidP="008155C9">
      <w:pPr>
        <w:pStyle w:val="ListParagraph"/>
        <w:numPr>
          <w:ilvl w:val="0"/>
          <w:numId w:val="20"/>
        </w:numPr>
        <w:spacing w:after="0" w:line="240" w:lineRule="auto"/>
        <w:jc w:val="both"/>
        <w:rPr>
          <w:rFonts w:cstheme="minorHAnsi"/>
          <w:sz w:val="22"/>
          <w:szCs w:val="22"/>
        </w:rPr>
      </w:pPr>
      <w:r w:rsidRPr="008155C9">
        <w:rPr>
          <w:rFonts w:cstheme="minorHAnsi"/>
          <w:sz w:val="22"/>
          <w:szCs w:val="22"/>
        </w:rPr>
        <w:t>Jhal</w:t>
      </w:r>
      <w:r w:rsidR="00F90010" w:rsidRPr="008155C9">
        <w:rPr>
          <w:rFonts w:cstheme="minorHAnsi"/>
          <w:sz w:val="22"/>
          <w:szCs w:val="22"/>
        </w:rPr>
        <w:t>o</w:t>
      </w:r>
      <w:r w:rsidRPr="008155C9">
        <w:rPr>
          <w:rFonts w:cstheme="minorHAnsi"/>
          <w:sz w:val="22"/>
          <w:szCs w:val="22"/>
        </w:rPr>
        <w:t xml:space="preserve">kathi </w:t>
      </w:r>
      <w:r w:rsidRPr="00CB795D">
        <w:rPr>
          <w:rFonts w:cstheme="minorHAnsi"/>
          <w:sz w:val="22"/>
          <w:szCs w:val="22"/>
        </w:rPr>
        <w:t>District (Jhal</w:t>
      </w:r>
      <w:r w:rsidR="00CB795D" w:rsidRPr="00CB795D">
        <w:rPr>
          <w:rFonts w:cstheme="minorHAnsi"/>
          <w:sz w:val="22"/>
          <w:szCs w:val="22"/>
        </w:rPr>
        <w:t>o</w:t>
      </w:r>
      <w:r w:rsidRPr="00CB795D">
        <w:rPr>
          <w:rFonts w:cstheme="minorHAnsi"/>
          <w:sz w:val="22"/>
          <w:szCs w:val="22"/>
        </w:rPr>
        <w:t>kathi Sadar</w:t>
      </w:r>
      <w:r w:rsidRPr="008155C9">
        <w:rPr>
          <w:rFonts w:cstheme="minorHAnsi"/>
          <w:sz w:val="22"/>
          <w:szCs w:val="22"/>
        </w:rPr>
        <w:t>)</w:t>
      </w:r>
    </w:p>
    <w:p w14:paraId="11A704AB" w14:textId="31B4F2AC" w:rsidR="00EF716D" w:rsidRPr="008155C9" w:rsidRDefault="00EF716D" w:rsidP="008155C9">
      <w:pPr>
        <w:pStyle w:val="ListParagraph"/>
        <w:numPr>
          <w:ilvl w:val="0"/>
          <w:numId w:val="20"/>
        </w:numPr>
        <w:spacing w:after="0" w:line="240" w:lineRule="auto"/>
        <w:jc w:val="both"/>
        <w:rPr>
          <w:rFonts w:cstheme="minorHAnsi"/>
          <w:sz w:val="22"/>
          <w:szCs w:val="22"/>
        </w:rPr>
      </w:pPr>
      <w:r w:rsidRPr="008155C9">
        <w:rPr>
          <w:rFonts w:cstheme="minorHAnsi"/>
          <w:sz w:val="22"/>
          <w:szCs w:val="22"/>
        </w:rPr>
        <w:t>Tangail District (</w:t>
      </w:r>
      <w:proofErr w:type="spellStart"/>
      <w:r w:rsidRPr="008155C9">
        <w:rPr>
          <w:rFonts w:cstheme="minorHAnsi"/>
          <w:sz w:val="22"/>
          <w:szCs w:val="22"/>
        </w:rPr>
        <w:t>Bhuapur</w:t>
      </w:r>
      <w:proofErr w:type="spellEnd"/>
      <w:r w:rsidRPr="008155C9">
        <w:rPr>
          <w:rFonts w:cstheme="minorHAnsi"/>
          <w:sz w:val="22"/>
          <w:szCs w:val="22"/>
        </w:rPr>
        <w:t xml:space="preserve"> and Gopalpur Upazila). </w:t>
      </w:r>
    </w:p>
    <w:p w14:paraId="1E3AF6C9" w14:textId="77777777" w:rsidR="00EC31A6" w:rsidRPr="008155C9" w:rsidRDefault="00EC31A6" w:rsidP="008155C9">
      <w:pPr>
        <w:spacing w:after="0" w:line="240" w:lineRule="auto"/>
        <w:jc w:val="both"/>
        <w:rPr>
          <w:rFonts w:cstheme="minorHAnsi"/>
        </w:rPr>
      </w:pPr>
    </w:p>
    <w:p w14:paraId="4F6ADA7A" w14:textId="6B78F970" w:rsidR="00EF716D" w:rsidRPr="008155C9" w:rsidRDefault="00EF716D" w:rsidP="008155C9">
      <w:pPr>
        <w:spacing w:after="0" w:line="240" w:lineRule="auto"/>
        <w:jc w:val="both"/>
        <w:rPr>
          <w:rFonts w:cstheme="minorHAnsi"/>
        </w:rPr>
      </w:pPr>
      <w:r w:rsidRPr="008155C9">
        <w:rPr>
          <w:rFonts w:cstheme="minorHAnsi"/>
        </w:rPr>
        <w:lastRenderedPageBreak/>
        <w:t xml:space="preserve">These five Upazilas comprise </w:t>
      </w:r>
      <w:r w:rsidR="00BF2D69" w:rsidRPr="008155C9">
        <w:rPr>
          <w:rFonts w:cstheme="minorHAnsi"/>
        </w:rPr>
        <w:t>of 32 unions</w:t>
      </w:r>
      <w:r w:rsidRPr="008155C9">
        <w:rPr>
          <w:rFonts w:cstheme="minorHAnsi"/>
        </w:rPr>
        <w:t xml:space="preserve"> and define the geographical scope of </w:t>
      </w:r>
      <w:r w:rsidRPr="00CB795D">
        <w:rPr>
          <w:rFonts w:cstheme="minorHAnsi"/>
        </w:rPr>
        <w:t xml:space="preserve">the </w:t>
      </w:r>
      <w:r w:rsidR="00305F3B" w:rsidRPr="00CB795D">
        <w:rPr>
          <w:rFonts w:cstheme="minorHAnsi"/>
        </w:rPr>
        <w:t>baseline</w:t>
      </w:r>
      <w:r w:rsidRPr="00CB795D">
        <w:rPr>
          <w:rFonts w:cstheme="minorHAnsi"/>
        </w:rPr>
        <w:t xml:space="preserve"> study</w:t>
      </w:r>
      <w:r w:rsidRPr="008155C9">
        <w:rPr>
          <w:rFonts w:cstheme="minorHAnsi"/>
        </w:rPr>
        <w:t>, which will assess the viability and contextual relevance of the proposed intervention across the entire target area of the second phase.</w:t>
      </w:r>
    </w:p>
    <w:p w14:paraId="40D2746D" w14:textId="77777777" w:rsidR="00D33CA4" w:rsidRPr="008155C9" w:rsidRDefault="00D33CA4" w:rsidP="008155C9">
      <w:pPr>
        <w:spacing w:after="0" w:line="240" w:lineRule="auto"/>
        <w:jc w:val="both"/>
        <w:rPr>
          <w:rFonts w:eastAsia="Times New Roman" w:cstheme="minorHAnsi"/>
          <w:b/>
          <w:bCs/>
          <w:highlight w:val="white"/>
        </w:rPr>
      </w:pPr>
    </w:p>
    <w:tbl>
      <w:tblPr>
        <w:tblStyle w:val="TableGrid"/>
        <w:tblW w:w="5000" w:type="pct"/>
        <w:tblLook w:val="04A0" w:firstRow="1" w:lastRow="0" w:firstColumn="1" w:lastColumn="0" w:noHBand="0" w:noVBand="1"/>
      </w:tblPr>
      <w:tblGrid>
        <w:gridCol w:w="1400"/>
        <w:gridCol w:w="1358"/>
        <w:gridCol w:w="4935"/>
        <w:gridCol w:w="1657"/>
      </w:tblGrid>
      <w:tr w:rsidR="00923BC2" w:rsidRPr="008155C9" w14:paraId="602515AB" w14:textId="77777777" w:rsidTr="009D7E1A">
        <w:trPr>
          <w:trHeight w:val="202"/>
        </w:trPr>
        <w:tc>
          <w:tcPr>
            <w:tcW w:w="749" w:type="pct"/>
            <w:shd w:val="clear" w:color="auto" w:fill="C6D9F1" w:themeFill="text2" w:themeFillTint="33"/>
            <w:hideMark/>
          </w:tcPr>
          <w:p w14:paraId="224831E1"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b/>
                <w:bCs/>
                <w:sz w:val="22"/>
                <w:szCs w:val="22"/>
              </w:rPr>
              <w:t>District</w:t>
            </w:r>
          </w:p>
        </w:tc>
        <w:tc>
          <w:tcPr>
            <w:tcW w:w="726" w:type="pct"/>
            <w:shd w:val="clear" w:color="auto" w:fill="C6D9F1" w:themeFill="text2" w:themeFillTint="33"/>
            <w:hideMark/>
          </w:tcPr>
          <w:p w14:paraId="46AE5330"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b/>
                <w:bCs/>
                <w:sz w:val="22"/>
                <w:szCs w:val="22"/>
              </w:rPr>
              <w:t>Upazila</w:t>
            </w:r>
          </w:p>
        </w:tc>
        <w:tc>
          <w:tcPr>
            <w:tcW w:w="2639" w:type="pct"/>
            <w:shd w:val="clear" w:color="auto" w:fill="C6D9F1" w:themeFill="text2" w:themeFillTint="33"/>
            <w:hideMark/>
          </w:tcPr>
          <w:p w14:paraId="28BA3919"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b/>
                <w:bCs/>
                <w:sz w:val="22"/>
                <w:szCs w:val="22"/>
              </w:rPr>
              <w:t>Union</w:t>
            </w:r>
          </w:p>
        </w:tc>
        <w:tc>
          <w:tcPr>
            <w:tcW w:w="887" w:type="pct"/>
            <w:shd w:val="clear" w:color="auto" w:fill="C6D9F1" w:themeFill="text2" w:themeFillTint="33"/>
            <w:hideMark/>
          </w:tcPr>
          <w:p w14:paraId="0B2D33B3"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b/>
                <w:bCs/>
                <w:sz w:val="22"/>
                <w:szCs w:val="22"/>
              </w:rPr>
              <w:t>Total School</w:t>
            </w:r>
          </w:p>
        </w:tc>
      </w:tr>
      <w:tr w:rsidR="00923BC2" w:rsidRPr="008155C9" w14:paraId="57CCAE3B" w14:textId="77777777" w:rsidTr="00EF0B2E">
        <w:trPr>
          <w:trHeight w:val="465"/>
        </w:trPr>
        <w:tc>
          <w:tcPr>
            <w:tcW w:w="749" w:type="pct"/>
            <w:vMerge w:val="restart"/>
            <w:hideMark/>
          </w:tcPr>
          <w:p w14:paraId="09BD3171" w14:textId="7DDA511C"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b/>
                <w:bCs/>
                <w:sz w:val="22"/>
                <w:szCs w:val="22"/>
              </w:rPr>
              <w:t>Barishal</w:t>
            </w:r>
          </w:p>
        </w:tc>
        <w:tc>
          <w:tcPr>
            <w:tcW w:w="726" w:type="pct"/>
            <w:hideMark/>
          </w:tcPr>
          <w:p w14:paraId="3A1E7A3E"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rPr>
              <w:t>Babuganj</w:t>
            </w:r>
          </w:p>
        </w:tc>
        <w:tc>
          <w:tcPr>
            <w:tcW w:w="2639" w:type="pct"/>
            <w:hideMark/>
          </w:tcPr>
          <w:p w14:paraId="3E446D39" w14:textId="77777777" w:rsidR="00923BC2" w:rsidRPr="00EF0B2E" w:rsidRDefault="00923BC2" w:rsidP="008155C9">
            <w:pPr>
              <w:rPr>
                <w:rFonts w:asciiTheme="minorHAnsi" w:hAnsiTheme="minorHAnsi" w:cstheme="minorHAnsi"/>
                <w:sz w:val="22"/>
                <w:szCs w:val="22"/>
              </w:rPr>
            </w:pPr>
            <w:r w:rsidRPr="00EF0B2E">
              <w:rPr>
                <w:rFonts w:asciiTheme="minorHAnsi" w:hAnsiTheme="minorHAnsi" w:cstheme="minorHAnsi"/>
                <w:sz w:val="22"/>
                <w:szCs w:val="22"/>
              </w:rPr>
              <w:t>Chandpasha, Dehergati, Madabpasha, Jahangirnagar, Kedarpur, Rahmatpur</w:t>
            </w:r>
          </w:p>
        </w:tc>
        <w:tc>
          <w:tcPr>
            <w:tcW w:w="887" w:type="pct"/>
            <w:hideMark/>
          </w:tcPr>
          <w:p w14:paraId="621EEF3C"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rPr>
              <w:t>24</w:t>
            </w:r>
          </w:p>
        </w:tc>
      </w:tr>
      <w:tr w:rsidR="00923BC2" w:rsidRPr="008155C9" w14:paraId="641C2D6A" w14:textId="77777777" w:rsidTr="00EF0B2E">
        <w:trPr>
          <w:trHeight w:val="118"/>
        </w:trPr>
        <w:tc>
          <w:tcPr>
            <w:tcW w:w="749" w:type="pct"/>
            <w:vMerge/>
            <w:hideMark/>
          </w:tcPr>
          <w:p w14:paraId="6244FAAD" w14:textId="77777777" w:rsidR="00923BC2" w:rsidRPr="008155C9" w:rsidRDefault="00923BC2" w:rsidP="008155C9">
            <w:pPr>
              <w:rPr>
                <w:rFonts w:asciiTheme="minorHAnsi" w:hAnsiTheme="minorHAnsi" w:cstheme="minorHAnsi"/>
                <w:sz w:val="22"/>
                <w:szCs w:val="22"/>
              </w:rPr>
            </w:pPr>
          </w:p>
        </w:tc>
        <w:tc>
          <w:tcPr>
            <w:tcW w:w="726" w:type="pct"/>
            <w:hideMark/>
          </w:tcPr>
          <w:p w14:paraId="0B51B89C"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rPr>
              <w:t>Agailjhara</w:t>
            </w:r>
          </w:p>
        </w:tc>
        <w:tc>
          <w:tcPr>
            <w:tcW w:w="2639" w:type="pct"/>
            <w:hideMark/>
          </w:tcPr>
          <w:p w14:paraId="5923F284"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rPr>
              <w:t>Bakal, Rajiher, Gaila, Ratnapur</w:t>
            </w:r>
          </w:p>
        </w:tc>
        <w:tc>
          <w:tcPr>
            <w:tcW w:w="887" w:type="pct"/>
            <w:hideMark/>
          </w:tcPr>
          <w:p w14:paraId="531B947C"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rPr>
              <w:t>16</w:t>
            </w:r>
          </w:p>
        </w:tc>
      </w:tr>
      <w:tr w:rsidR="00923BC2" w:rsidRPr="008155C9" w14:paraId="54F6B123" w14:textId="77777777" w:rsidTr="00EF0B2E">
        <w:trPr>
          <w:trHeight w:val="415"/>
        </w:trPr>
        <w:tc>
          <w:tcPr>
            <w:tcW w:w="749" w:type="pct"/>
            <w:hideMark/>
          </w:tcPr>
          <w:p w14:paraId="28072994"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b/>
                <w:bCs/>
                <w:sz w:val="22"/>
                <w:szCs w:val="22"/>
              </w:rPr>
              <w:t>Jhalokathi</w:t>
            </w:r>
          </w:p>
        </w:tc>
        <w:tc>
          <w:tcPr>
            <w:tcW w:w="726" w:type="pct"/>
            <w:hideMark/>
          </w:tcPr>
          <w:p w14:paraId="35D2E616"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rPr>
              <w:t>Jhalokathi Sadar</w:t>
            </w:r>
          </w:p>
        </w:tc>
        <w:tc>
          <w:tcPr>
            <w:tcW w:w="2639" w:type="pct"/>
            <w:hideMark/>
          </w:tcPr>
          <w:p w14:paraId="76D1B33B"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rPr>
              <w:t>Kirtipasha, Nobagram, Bashanda, Keora, Binoykati, Nathullabad, Shekerhat, Gavaramchandrapur, Ghavkhan dhansiri</w:t>
            </w:r>
          </w:p>
        </w:tc>
        <w:tc>
          <w:tcPr>
            <w:tcW w:w="887" w:type="pct"/>
            <w:hideMark/>
          </w:tcPr>
          <w:p w14:paraId="65D5C515"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rPr>
              <w:t>36</w:t>
            </w:r>
          </w:p>
        </w:tc>
      </w:tr>
      <w:tr w:rsidR="00923BC2" w:rsidRPr="008155C9" w14:paraId="0F71C762" w14:textId="77777777" w:rsidTr="00EF0B2E">
        <w:trPr>
          <w:trHeight w:val="122"/>
        </w:trPr>
        <w:tc>
          <w:tcPr>
            <w:tcW w:w="749" w:type="pct"/>
            <w:vMerge w:val="restart"/>
            <w:hideMark/>
          </w:tcPr>
          <w:p w14:paraId="16F664E2" w14:textId="1E7CC8FD"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b/>
                <w:bCs/>
                <w:sz w:val="22"/>
                <w:szCs w:val="22"/>
              </w:rPr>
              <w:t>Tangail</w:t>
            </w:r>
          </w:p>
        </w:tc>
        <w:tc>
          <w:tcPr>
            <w:tcW w:w="726" w:type="pct"/>
            <w:hideMark/>
          </w:tcPr>
          <w:p w14:paraId="0588EB6D"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rPr>
              <w:t>Bhuapur</w:t>
            </w:r>
          </w:p>
        </w:tc>
        <w:tc>
          <w:tcPr>
            <w:tcW w:w="2639" w:type="pct"/>
            <w:hideMark/>
          </w:tcPr>
          <w:p w14:paraId="70BC6659" w14:textId="77777777" w:rsidR="00923BC2" w:rsidRPr="008155C9" w:rsidRDefault="00923BC2" w:rsidP="008155C9">
            <w:pPr>
              <w:rPr>
                <w:rFonts w:asciiTheme="minorHAnsi" w:hAnsiTheme="minorHAnsi" w:cstheme="minorHAnsi"/>
                <w:sz w:val="22"/>
                <w:szCs w:val="22"/>
                <w:lang w:val="pt-BR"/>
              </w:rPr>
            </w:pPr>
            <w:r w:rsidRPr="008155C9">
              <w:rPr>
                <w:rFonts w:asciiTheme="minorHAnsi" w:hAnsiTheme="minorHAnsi" w:cstheme="minorHAnsi"/>
                <w:sz w:val="22"/>
                <w:szCs w:val="22"/>
                <w:lang w:val="pt-BR"/>
              </w:rPr>
              <w:t>Aloa, Falda, Nikrail, Arjuna,Gabsara, Gobindashi</w:t>
            </w:r>
          </w:p>
        </w:tc>
        <w:tc>
          <w:tcPr>
            <w:tcW w:w="887" w:type="pct"/>
            <w:hideMark/>
          </w:tcPr>
          <w:p w14:paraId="06AF558D"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lang w:val="pt-BR"/>
              </w:rPr>
              <w:t>24</w:t>
            </w:r>
          </w:p>
        </w:tc>
      </w:tr>
      <w:tr w:rsidR="00923BC2" w:rsidRPr="008155C9" w14:paraId="5C004DA3" w14:textId="77777777" w:rsidTr="00EF0B2E">
        <w:trPr>
          <w:trHeight w:val="340"/>
        </w:trPr>
        <w:tc>
          <w:tcPr>
            <w:tcW w:w="749" w:type="pct"/>
            <w:vMerge/>
            <w:hideMark/>
          </w:tcPr>
          <w:p w14:paraId="1AFAC72E" w14:textId="77777777" w:rsidR="00923BC2" w:rsidRPr="008155C9" w:rsidRDefault="00923BC2" w:rsidP="008155C9">
            <w:pPr>
              <w:rPr>
                <w:rFonts w:asciiTheme="minorHAnsi" w:hAnsiTheme="minorHAnsi" w:cstheme="minorHAnsi"/>
                <w:sz w:val="22"/>
                <w:szCs w:val="22"/>
              </w:rPr>
            </w:pPr>
          </w:p>
        </w:tc>
        <w:tc>
          <w:tcPr>
            <w:tcW w:w="726" w:type="pct"/>
            <w:hideMark/>
          </w:tcPr>
          <w:p w14:paraId="21B7FB9E"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rPr>
              <w:t>Gopalpur</w:t>
            </w:r>
          </w:p>
        </w:tc>
        <w:tc>
          <w:tcPr>
            <w:tcW w:w="2639" w:type="pct"/>
            <w:hideMark/>
          </w:tcPr>
          <w:p w14:paraId="2A3C8FF3"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rPr>
              <w:t xml:space="preserve">Hadira, Jhawail, Nagdashimla, Dhopakandi, Alamnagr, Hemnagr, Mirzapur </w:t>
            </w:r>
          </w:p>
        </w:tc>
        <w:tc>
          <w:tcPr>
            <w:tcW w:w="887" w:type="pct"/>
            <w:hideMark/>
          </w:tcPr>
          <w:p w14:paraId="706B35EA"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sz w:val="22"/>
                <w:szCs w:val="22"/>
              </w:rPr>
              <w:t>28</w:t>
            </w:r>
          </w:p>
        </w:tc>
      </w:tr>
      <w:tr w:rsidR="00923BC2" w:rsidRPr="008155C9" w14:paraId="29A25650" w14:textId="77777777" w:rsidTr="00EF0B2E">
        <w:trPr>
          <w:trHeight w:val="559"/>
        </w:trPr>
        <w:tc>
          <w:tcPr>
            <w:tcW w:w="749" w:type="pct"/>
            <w:hideMark/>
          </w:tcPr>
          <w:p w14:paraId="12AF5B55"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b/>
                <w:bCs/>
                <w:sz w:val="22"/>
                <w:szCs w:val="22"/>
              </w:rPr>
              <w:t>3 Districts</w:t>
            </w:r>
          </w:p>
        </w:tc>
        <w:tc>
          <w:tcPr>
            <w:tcW w:w="726" w:type="pct"/>
            <w:hideMark/>
          </w:tcPr>
          <w:p w14:paraId="6C4F7BAE"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b/>
                <w:bCs/>
                <w:sz w:val="22"/>
                <w:szCs w:val="22"/>
              </w:rPr>
              <w:t>5 Upazilas</w:t>
            </w:r>
          </w:p>
        </w:tc>
        <w:tc>
          <w:tcPr>
            <w:tcW w:w="2639" w:type="pct"/>
            <w:hideMark/>
          </w:tcPr>
          <w:p w14:paraId="4048BE11"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b/>
                <w:bCs/>
                <w:sz w:val="22"/>
                <w:szCs w:val="22"/>
              </w:rPr>
              <w:t>32 Unions</w:t>
            </w:r>
          </w:p>
        </w:tc>
        <w:tc>
          <w:tcPr>
            <w:tcW w:w="887" w:type="pct"/>
            <w:hideMark/>
          </w:tcPr>
          <w:p w14:paraId="41B075C1" w14:textId="77777777" w:rsidR="00923BC2" w:rsidRPr="008155C9" w:rsidRDefault="00923BC2" w:rsidP="008155C9">
            <w:pPr>
              <w:rPr>
                <w:rFonts w:asciiTheme="minorHAnsi" w:hAnsiTheme="minorHAnsi" w:cstheme="minorHAnsi"/>
                <w:sz w:val="22"/>
                <w:szCs w:val="22"/>
              </w:rPr>
            </w:pPr>
            <w:r w:rsidRPr="008155C9">
              <w:rPr>
                <w:rFonts w:asciiTheme="minorHAnsi" w:hAnsiTheme="minorHAnsi" w:cstheme="minorHAnsi"/>
                <w:b/>
                <w:bCs/>
                <w:sz w:val="22"/>
                <w:szCs w:val="22"/>
              </w:rPr>
              <w:t>128 Secondary Schools</w:t>
            </w:r>
          </w:p>
        </w:tc>
      </w:tr>
    </w:tbl>
    <w:p w14:paraId="048FBDBB" w14:textId="77777777" w:rsidR="008A53A7" w:rsidRPr="008155C9" w:rsidRDefault="008A53A7" w:rsidP="008155C9">
      <w:pPr>
        <w:spacing w:after="0" w:line="240" w:lineRule="auto"/>
        <w:jc w:val="both"/>
        <w:rPr>
          <w:rFonts w:eastAsia="Times New Roman" w:cstheme="minorHAnsi"/>
          <w:b/>
          <w:bCs/>
          <w:highlight w:val="white"/>
        </w:rPr>
      </w:pPr>
    </w:p>
    <w:p w14:paraId="04957703" w14:textId="04F8C9BF" w:rsidR="00E76CBF" w:rsidRPr="008155C9" w:rsidRDefault="00E76CBF" w:rsidP="008155C9">
      <w:pPr>
        <w:pStyle w:val="ListParagraph"/>
        <w:numPr>
          <w:ilvl w:val="0"/>
          <w:numId w:val="21"/>
        </w:numPr>
        <w:spacing w:after="0" w:line="240" w:lineRule="auto"/>
        <w:rPr>
          <w:rFonts w:cstheme="minorHAnsi"/>
          <w:b/>
          <w:bCs/>
          <w:sz w:val="22"/>
          <w:szCs w:val="22"/>
        </w:rPr>
      </w:pPr>
      <w:r w:rsidRPr="008155C9">
        <w:rPr>
          <w:rFonts w:cstheme="minorHAnsi"/>
          <w:b/>
          <w:bCs/>
          <w:sz w:val="22"/>
          <w:szCs w:val="22"/>
        </w:rPr>
        <w:t xml:space="preserve">Contributions </w:t>
      </w:r>
      <w:r w:rsidR="008155C9">
        <w:rPr>
          <w:rFonts w:cstheme="minorHAnsi"/>
          <w:b/>
          <w:bCs/>
          <w:sz w:val="22"/>
          <w:szCs w:val="22"/>
        </w:rPr>
        <w:t>b</w:t>
      </w:r>
      <w:r w:rsidR="008155C9" w:rsidRPr="008155C9">
        <w:rPr>
          <w:rFonts w:cstheme="minorHAnsi"/>
          <w:b/>
          <w:bCs/>
          <w:sz w:val="22"/>
          <w:szCs w:val="22"/>
        </w:rPr>
        <w:t>y Target Groups</w:t>
      </w:r>
    </w:p>
    <w:p w14:paraId="3143DA7E" w14:textId="1A552D9B" w:rsidR="00EF716D" w:rsidRDefault="00E76CBF" w:rsidP="008155C9">
      <w:pPr>
        <w:spacing w:after="0" w:line="240" w:lineRule="auto"/>
        <w:jc w:val="both"/>
        <w:rPr>
          <w:rFonts w:cstheme="minorHAnsi"/>
        </w:rPr>
      </w:pPr>
      <w:r w:rsidRPr="008155C9">
        <w:rPr>
          <w:rFonts w:cstheme="minorHAnsi"/>
        </w:rPr>
        <w:t>The project does not require financial contributions from adolescents. Contributions by target groups primarily consist of time, participation and local engagement, including attendance in trainings/sessions, peer outreach, volunteer prevention work, hosting/</w:t>
      </w:r>
      <w:r w:rsidR="008530FA" w:rsidRPr="008155C9">
        <w:rPr>
          <w:rFonts w:cstheme="minorHAnsi"/>
        </w:rPr>
        <w:t>organizing</w:t>
      </w:r>
      <w:r w:rsidRPr="008155C9">
        <w:rPr>
          <w:rFonts w:cstheme="minorHAnsi"/>
        </w:rPr>
        <w:t xml:space="preserve"> community meetings, and participation in coordination/committee processes. Community institutions (including Union Parishads and schools) may contribute in-kind, for example by providing venues for meetings and awareness sessions and by supporting local facilitation through staff time. These in-kind contributions are voluntary and supportive; they are not mandatory requirements for participation in the project.</w:t>
      </w:r>
    </w:p>
    <w:p w14:paraId="70ECF2E1" w14:textId="77777777" w:rsidR="008155C9" w:rsidRPr="008155C9" w:rsidRDefault="008155C9" w:rsidP="008155C9">
      <w:pPr>
        <w:spacing w:after="0" w:line="240" w:lineRule="auto"/>
        <w:jc w:val="both"/>
        <w:rPr>
          <w:rFonts w:cstheme="minorHAnsi"/>
        </w:rPr>
      </w:pPr>
    </w:p>
    <w:p w14:paraId="2801555A" w14:textId="3B92D0A6" w:rsidR="00E76CBF" w:rsidRPr="008155C9" w:rsidRDefault="00E76CBF" w:rsidP="008155C9">
      <w:pPr>
        <w:pStyle w:val="Heading3"/>
        <w:spacing w:before="0" w:line="240" w:lineRule="auto"/>
        <w:jc w:val="center"/>
        <w:rPr>
          <w:rFonts w:asciiTheme="minorHAnsi" w:hAnsiTheme="minorHAnsi" w:cstheme="minorHAnsi"/>
          <w:b/>
          <w:bCs/>
          <w:color w:val="auto"/>
          <w:sz w:val="22"/>
          <w:szCs w:val="22"/>
        </w:rPr>
      </w:pPr>
      <w:r w:rsidRPr="008155C9">
        <w:rPr>
          <w:rFonts w:asciiTheme="minorHAnsi" w:hAnsiTheme="minorHAnsi" w:cstheme="minorHAnsi"/>
          <w:b/>
          <w:bCs/>
          <w:color w:val="auto"/>
          <w:sz w:val="22"/>
          <w:szCs w:val="22"/>
        </w:rPr>
        <w:t>Overview</w:t>
      </w:r>
      <w:r w:rsidR="005359B7" w:rsidRPr="008155C9">
        <w:rPr>
          <w:rFonts w:asciiTheme="minorHAnsi" w:hAnsiTheme="minorHAnsi" w:cstheme="minorHAnsi"/>
          <w:b/>
          <w:bCs/>
          <w:color w:val="auto"/>
          <w:sz w:val="22"/>
          <w:szCs w:val="22"/>
        </w:rPr>
        <w:t xml:space="preserve"> of target groups</w:t>
      </w:r>
    </w:p>
    <w:tbl>
      <w:tblPr>
        <w:tblStyle w:val="TableGrid"/>
        <w:tblW w:w="5000" w:type="pct"/>
        <w:tblLook w:val="04A0" w:firstRow="1" w:lastRow="0" w:firstColumn="1" w:lastColumn="0" w:noHBand="0" w:noVBand="1"/>
      </w:tblPr>
      <w:tblGrid>
        <w:gridCol w:w="2174"/>
        <w:gridCol w:w="1427"/>
        <w:gridCol w:w="4696"/>
        <w:gridCol w:w="1053"/>
      </w:tblGrid>
      <w:tr w:rsidR="00E76CBF" w:rsidRPr="008155C9" w14:paraId="28CC5D9D" w14:textId="77777777" w:rsidTr="009D7E1A">
        <w:tc>
          <w:tcPr>
            <w:tcW w:w="1163" w:type="pct"/>
            <w:shd w:val="clear" w:color="auto" w:fill="C6D9F1" w:themeFill="text2" w:themeFillTint="33"/>
            <w:vAlign w:val="center"/>
            <w:hideMark/>
          </w:tcPr>
          <w:p w14:paraId="56341DC2" w14:textId="77777777" w:rsidR="00E76CBF" w:rsidRPr="008155C9" w:rsidRDefault="00E76CBF" w:rsidP="008155C9">
            <w:pPr>
              <w:jc w:val="center"/>
              <w:rPr>
                <w:rFonts w:asciiTheme="minorHAnsi" w:hAnsiTheme="minorHAnsi" w:cstheme="minorHAnsi"/>
                <w:b/>
                <w:bCs/>
                <w:sz w:val="22"/>
                <w:szCs w:val="22"/>
              </w:rPr>
            </w:pPr>
            <w:r w:rsidRPr="008155C9">
              <w:rPr>
                <w:rFonts w:asciiTheme="minorHAnsi" w:hAnsiTheme="minorHAnsi" w:cstheme="minorHAnsi"/>
                <w:b/>
                <w:bCs/>
                <w:sz w:val="22"/>
                <w:szCs w:val="22"/>
              </w:rPr>
              <w:t>Target group</w:t>
            </w:r>
          </w:p>
        </w:tc>
        <w:tc>
          <w:tcPr>
            <w:tcW w:w="763" w:type="pct"/>
            <w:shd w:val="clear" w:color="auto" w:fill="C6D9F1" w:themeFill="text2" w:themeFillTint="33"/>
            <w:vAlign w:val="center"/>
            <w:hideMark/>
          </w:tcPr>
          <w:p w14:paraId="286680EE" w14:textId="77777777" w:rsidR="00E76CBF" w:rsidRPr="008155C9" w:rsidRDefault="00E76CBF" w:rsidP="008155C9">
            <w:pPr>
              <w:jc w:val="center"/>
              <w:rPr>
                <w:rFonts w:asciiTheme="minorHAnsi" w:hAnsiTheme="minorHAnsi" w:cstheme="minorHAnsi"/>
                <w:b/>
                <w:bCs/>
                <w:sz w:val="22"/>
                <w:szCs w:val="22"/>
              </w:rPr>
            </w:pPr>
            <w:r w:rsidRPr="008155C9">
              <w:rPr>
                <w:rFonts w:asciiTheme="minorHAnsi" w:hAnsiTheme="minorHAnsi" w:cstheme="minorHAnsi"/>
                <w:b/>
                <w:bCs/>
                <w:sz w:val="22"/>
                <w:szCs w:val="22"/>
              </w:rPr>
              <w:t>Category</w:t>
            </w:r>
          </w:p>
        </w:tc>
        <w:tc>
          <w:tcPr>
            <w:tcW w:w="2511" w:type="pct"/>
            <w:shd w:val="clear" w:color="auto" w:fill="C6D9F1" w:themeFill="text2" w:themeFillTint="33"/>
            <w:vAlign w:val="center"/>
            <w:hideMark/>
          </w:tcPr>
          <w:p w14:paraId="7F6D020C" w14:textId="77777777" w:rsidR="00E76CBF" w:rsidRPr="008155C9" w:rsidRDefault="00E76CBF" w:rsidP="008155C9">
            <w:pPr>
              <w:jc w:val="center"/>
              <w:rPr>
                <w:rFonts w:asciiTheme="minorHAnsi" w:hAnsiTheme="minorHAnsi" w:cstheme="minorHAnsi"/>
                <w:b/>
                <w:bCs/>
                <w:sz w:val="22"/>
                <w:szCs w:val="22"/>
              </w:rPr>
            </w:pPr>
            <w:r w:rsidRPr="008155C9">
              <w:rPr>
                <w:rFonts w:asciiTheme="minorHAnsi" w:hAnsiTheme="minorHAnsi" w:cstheme="minorHAnsi"/>
                <w:b/>
                <w:bCs/>
                <w:sz w:val="22"/>
                <w:szCs w:val="22"/>
              </w:rPr>
              <w:t>Key characteristics</w:t>
            </w:r>
          </w:p>
        </w:tc>
        <w:tc>
          <w:tcPr>
            <w:tcW w:w="563" w:type="pct"/>
            <w:shd w:val="clear" w:color="auto" w:fill="C6D9F1" w:themeFill="text2" w:themeFillTint="33"/>
            <w:vAlign w:val="center"/>
            <w:hideMark/>
          </w:tcPr>
          <w:p w14:paraId="13F49387" w14:textId="77777777" w:rsidR="00E76CBF" w:rsidRPr="008155C9" w:rsidRDefault="00E76CBF" w:rsidP="008155C9">
            <w:pPr>
              <w:jc w:val="center"/>
              <w:rPr>
                <w:rFonts w:asciiTheme="minorHAnsi" w:hAnsiTheme="minorHAnsi" w:cstheme="minorHAnsi"/>
                <w:b/>
                <w:bCs/>
                <w:sz w:val="22"/>
                <w:szCs w:val="22"/>
              </w:rPr>
            </w:pPr>
            <w:r w:rsidRPr="008155C9">
              <w:rPr>
                <w:rFonts w:asciiTheme="minorHAnsi" w:hAnsiTheme="minorHAnsi" w:cstheme="minorHAnsi"/>
                <w:b/>
                <w:bCs/>
                <w:sz w:val="22"/>
                <w:szCs w:val="22"/>
              </w:rPr>
              <w:t>Number</w:t>
            </w:r>
          </w:p>
        </w:tc>
      </w:tr>
      <w:tr w:rsidR="00E76CBF" w:rsidRPr="008155C9" w14:paraId="21DF0708" w14:textId="77777777" w:rsidTr="00E3708D">
        <w:trPr>
          <w:trHeight w:val="293"/>
        </w:trPr>
        <w:tc>
          <w:tcPr>
            <w:tcW w:w="1163" w:type="pct"/>
            <w:vAlign w:val="center"/>
            <w:hideMark/>
          </w:tcPr>
          <w:p w14:paraId="43301305"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Adolescent girls</w:t>
            </w:r>
          </w:p>
        </w:tc>
        <w:tc>
          <w:tcPr>
            <w:tcW w:w="763" w:type="pct"/>
            <w:vAlign w:val="center"/>
            <w:hideMark/>
          </w:tcPr>
          <w:p w14:paraId="26568F7E"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Direct</w:t>
            </w:r>
          </w:p>
        </w:tc>
        <w:tc>
          <w:tcPr>
            <w:tcW w:w="2511" w:type="pct"/>
            <w:vAlign w:val="center"/>
            <w:hideMark/>
          </w:tcPr>
          <w:p w14:paraId="61CBA518" w14:textId="77777777"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t>Girls aged 11-18 in the 32 target unions; primary at-risk group</w:t>
            </w:r>
          </w:p>
        </w:tc>
        <w:tc>
          <w:tcPr>
            <w:tcW w:w="563" w:type="pct"/>
            <w:vAlign w:val="center"/>
            <w:hideMark/>
          </w:tcPr>
          <w:p w14:paraId="5C897F21"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9,000</w:t>
            </w:r>
          </w:p>
        </w:tc>
      </w:tr>
      <w:tr w:rsidR="00E76CBF" w:rsidRPr="008155C9" w14:paraId="714409EB" w14:textId="77777777" w:rsidTr="00E3708D">
        <w:tc>
          <w:tcPr>
            <w:tcW w:w="1163" w:type="pct"/>
            <w:vAlign w:val="center"/>
            <w:hideMark/>
          </w:tcPr>
          <w:p w14:paraId="041D82EB"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Adolescent boys (as allies)</w:t>
            </w:r>
          </w:p>
        </w:tc>
        <w:tc>
          <w:tcPr>
            <w:tcW w:w="763" w:type="pct"/>
            <w:vAlign w:val="center"/>
            <w:hideMark/>
          </w:tcPr>
          <w:p w14:paraId="7B343002"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Direct (multiplier)</w:t>
            </w:r>
          </w:p>
        </w:tc>
        <w:tc>
          <w:tcPr>
            <w:tcW w:w="2511" w:type="pct"/>
            <w:vAlign w:val="center"/>
            <w:hideMark/>
          </w:tcPr>
          <w:p w14:paraId="1C22B73D" w14:textId="77777777"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t>Boys aged 13-18 engaged as peer educators/allies</w:t>
            </w:r>
          </w:p>
        </w:tc>
        <w:tc>
          <w:tcPr>
            <w:tcW w:w="563" w:type="pct"/>
            <w:vAlign w:val="center"/>
            <w:hideMark/>
          </w:tcPr>
          <w:p w14:paraId="7ADC5209"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1,800</w:t>
            </w:r>
          </w:p>
        </w:tc>
      </w:tr>
      <w:tr w:rsidR="00E76CBF" w:rsidRPr="008155C9" w14:paraId="39129EDF" w14:textId="77777777" w:rsidTr="00E3708D">
        <w:tc>
          <w:tcPr>
            <w:tcW w:w="1163" w:type="pct"/>
            <w:vAlign w:val="center"/>
            <w:hideMark/>
          </w:tcPr>
          <w:p w14:paraId="5A3D76E1"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Parents/guardians</w:t>
            </w:r>
          </w:p>
        </w:tc>
        <w:tc>
          <w:tcPr>
            <w:tcW w:w="763" w:type="pct"/>
            <w:vAlign w:val="center"/>
            <w:hideMark/>
          </w:tcPr>
          <w:p w14:paraId="03066EFB"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Direct</w:t>
            </w:r>
          </w:p>
        </w:tc>
        <w:tc>
          <w:tcPr>
            <w:tcW w:w="2511" w:type="pct"/>
            <w:vAlign w:val="center"/>
            <w:hideMark/>
          </w:tcPr>
          <w:p w14:paraId="28DC5379" w14:textId="77777777"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t>Parents/guardians engaged through repeated sessions (incl. courtyard/family dialogues)</w:t>
            </w:r>
          </w:p>
        </w:tc>
        <w:tc>
          <w:tcPr>
            <w:tcW w:w="563" w:type="pct"/>
            <w:vAlign w:val="center"/>
            <w:hideMark/>
          </w:tcPr>
          <w:p w14:paraId="277B1CF5"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2,100</w:t>
            </w:r>
          </w:p>
        </w:tc>
      </w:tr>
      <w:tr w:rsidR="00E76CBF" w:rsidRPr="008155C9" w14:paraId="096ADE67" w14:textId="77777777" w:rsidTr="00E3708D">
        <w:tc>
          <w:tcPr>
            <w:tcW w:w="1163" w:type="pct"/>
            <w:vAlign w:val="center"/>
            <w:hideMark/>
          </w:tcPr>
          <w:p w14:paraId="1A65AFE0"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Women leaders &amp; GGS leaders</w:t>
            </w:r>
          </w:p>
        </w:tc>
        <w:tc>
          <w:tcPr>
            <w:tcW w:w="763" w:type="pct"/>
            <w:vAlign w:val="center"/>
            <w:hideMark/>
          </w:tcPr>
          <w:p w14:paraId="4A18D634"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Direct (multiplier)</w:t>
            </w:r>
          </w:p>
        </w:tc>
        <w:tc>
          <w:tcPr>
            <w:tcW w:w="2511" w:type="pct"/>
            <w:vAlign w:val="center"/>
            <w:hideMark/>
          </w:tcPr>
          <w:p w14:paraId="35DE5AB7" w14:textId="77777777" w:rsidR="00E76CBF" w:rsidRPr="008155C9" w:rsidRDefault="00E76CBF" w:rsidP="008155C9">
            <w:pPr>
              <w:rPr>
                <w:rFonts w:asciiTheme="minorHAnsi" w:hAnsiTheme="minorHAnsi" w:cstheme="minorHAnsi"/>
                <w:sz w:val="22"/>
                <w:szCs w:val="22"/>
                <w:lang w:val="en-CA"/>
              </w:rPr>
            </w:pPr>
            <w:r w:rsidRPr="008155C9">
              <w:rPr>
                <w:rFonts w:asciiTheme="minorHAnsi" w:hAnsiTheme="minorHAnsi" w:cstheme="minorHAnsi"/>
                <w:sz w:val="22"/>
                <w:szCs w:val="22"/>
                <w:lang w:val="en-CA"/>
              </w:rPr>
              <w:t>Community facilitators (dialogues, mediation, mobilisation, IGAs linkages)</w:t>
            </w:r>
          </w:p>
        </w:tc>
        <w:tc>
          <w:tcPr>
            <w:tcW w:w="563" w:type="pct"/>
            <w:vAlign w:val="center"/>
            <w:hideMark/>
          </w:tcPr>
          <w:p w14:paraId="2E4ADF72"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300</w:t>
            </w:r>
          </w:p>
        </w:tc>
      </w:tr>
      <w:tr w:rsidR="00E76CBF" w:rsidRPr="008155C9" w14:paraId="5698B4F9" w14:textId="77777777" w:rsidTr="00E3708D">
        <w:tc>
          <w:tcPr>
            <w:tcW w:w="1163" w:type="pct"/>
            <w:vAlign w:val="center"/>
            <w:hideMark/>
          </w:tcPr>
          <w:p w14:paraId="63E2BB8E"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VDT volunteers</w:t>
            </w:r>
          </w:p>
        </w:tc>
        <w:tc>
          <w:tcPr>
            <w:tcW w:w="763" w:type="pct"/>
            <w:vAlign w:val="center"/>
            <w:hideMark/>
          </w:tcPr>
          <w:p w14:paraId="0C4221E3"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Direct (multiplier)</w:t>
            </w:r>
          </w:p>
        </w:tc>
        <w:tc>
          <w:tcPr>
            <w:tcW w:w="2511" w:type="pct"/>
            <w:vAlign w:val="center"/>
            <w:hideMark/>
          </w:tcPr>
          <w:p w14:paraId="601AB923" w14:textId="77777777"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t>Community volunteers for awareness, risk identification, case follow-up</w:t>
            </w:r>
          </w:p>
        </w:tc>
        <w:tc>
          <w:tcPr>
            <w:tcW w:w="563" w:type="pct"/>
            <w:vAlign w:val="center"/>
            <w:hideMark/>
          </w:tcPr>
          <w:p w14:paraId="7C3D4BFA"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1,512</w:t>
            </w:r>
          </w:p>
        </w:tc>
      </w:tr>
      <w:tr w:rsidR="00E76CBF" w:rsidRPr="008155C9" w14:paraId="7D88EF1B" w14:textId="77777777" w:rsidTr="00E3708D">
        <w:tc>
          <w:tcPr>
            <w:tcW w:w="1163" w:type="pct"/>
            <w:vAlign w:val="center"/>
            <w:hideMark/>
          </w:tcPr>
          <w:p w14:paraId="3B6397BD"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Teachers &amp; faith/community leaders</w:t>
            </w:r>
          </w:p>
        </w:tc>
        <w:tc>
          <w:tcPr>
            <w:tcW w:w="763" w:type="pct"/>
            <w:vAlign w:val="center"/>
            <w:hideMark/>
          </w:tcPr>
          <w:p w14:paraId="76C0FAFC"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Direct (multiplier)</w:t>
            </w:r>
          </w:p>
        </w:tc>
        <w:tc>
          <w:tcPr>
            <w:tcW w:w="2511" w:type="pct"/>
            <w:vAlign w:val="center"/>
            <w:hideMark/>
          </w:tcPr>
          <w:p w14:paraId="646980C4" w14:textId="77777777"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t>Trained for SRHR-related support, prevention messaging, referral pathways</w:t>
            </w:r>
          </w:p>
        </w:tc>
        <w:tc>
          <w:tcPr>
            <w:tcW w:w="563" w:type="pct"/>
            <w:vAlign w:val="center"/>
            <w:hideMark/>
          </w:tcPr>
          <w:p w14:paraId="3E7DDCB5"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840</w:t>
            </w:r>
          </w:p>
        </w:tc>
      </w:tr>
      <w:tr w:rsidR="00E76CBF" w:rsidRPr="008155C9" w14:paraId="310BA40C" w14:textId="77777777" w:rsidTr="00E3708D">
        <w:tc>
          <w:tcPr>
            <w:tcW w:w="1163" w:type="pct"/>
            <w:vAlign w:val="center"/>
            <w:hideMark/>
          </w:tcPr>
          <w:p w14:paraId="0949D978" w14:textId="77777777"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t>UCMPC members &amp; local government representatives</w:t>
            </w:r>
          </w:p>
        </w:tc>
        <w:tc>
          <w:tcPr>
            <w:tcW w:w="763" w:type="pct"/>
            <w:vAlign w:val="center"/>
            <w:hideMark/>
          </w:tcPr>
          <w:p w14:paraId="71289167"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Direct (institutional)</w:t>
            </w:r>
          </w:p>
        </w:tc>
        <w:tc>
          <w:tcPr>
            <w:tcW w:w="2511" w:type="pct"/>
            <w:vAlign w:val="center"/>
            <w:hideMark/>
          </w:tcPr>
          <w:p w14:paraId="3C5F2131" w14:textId="77777777"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t>Committee members / UP reps strengthened for SOPs, case management, quick response</w:t>
            </w:r>
          </w:p>
        </w:tc>
        <w:tc>
          <w:tcPr>
            <w:tcW w:w="563" w:type="pct"/>
            <w:vAlign w:val="center"/>
            <w:hideMark/>
          </w:tcPr>
          <w:p w14:paraId="2889298C"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672</w:t>
            </w:r>
          </w:p>
        </w:tc>
      </w:tr>
      <w:tr w:rsidR="00E76CBF" w:rsidRPr="008155C9" w14:paraId="50CECBC2" w14:textId="77777777" w:rsidTr="00E3708D">
        <w:tc>
          <w:tcPr>
            <w:tcW w:w="1163" w:type="pct"/>
            <w:vAlign w:val="center"/>
            <w:hideMark/>
          </w:tcPr>
          <w:p w14:paraId="26A11F14"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Additional parents &amp; community members</w:t>
            </w:r>
          </w:p>
        </w:tc>
        <w:tc>
          <w:tcPr>
            <w:tcW w:w="763" w:type="pct"/>
            <w:vAlign w:val="center"/>
            <w:hideMark/>
          </w:tcPr>
          <w:p w14:paraId="0E31F705"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Indirect</w:t>
            </w:r>
          </w:p>
        </w:tc>
        <w:tc>
          <w:tcPr>
            <w:tcW w:w="2511" w:type="pct"/>
            <w:vAlign w:val="center"/>
            <w:hideMark/>
          </w:tcPr>
          <w:p w14:paraId="2DDE2980" w14:textId="77777777"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t xml:space="preserve">Reached via community </w:t>
            </w:r>
            <w:proofErr w:type="spellStart"/>
            <w:r w:rsidRPr="008155C9">
              <w:rPr>
                <w:rFonts w:asciiTheme="minorHAnsi" w:hAnsiTheme="minorHAnsi" w:cstheme="minorHAnsi"/>
                <w:sz w:val="22"/>
                <w:szCs w:val="22"/>
                <w:lang w:val="en-US"/>
              </w:rPr>
              <w:t>mobilisation</w:t>
            </w:r>
            <w:proofErr w:type="spellEnd"/>
            <w:r w:rsidRPr="008155C9">
              <w:rPr>
                <w:rFonts w:asciiTheme="minorHAnsi" w:hAnsiTheme="minorHAnsi" w:cstheme="minorHAnsi"/>
                <w:sz w:val="22"/>
                <w:szCs w:val="22"/>
                <w:lang w:val="en-US"/>
              </w:rPr>
              <w:t>, courtyard messaging, school events</w:t>
            </w:r>
          </w:p>
        </w:tc>
        <w:tc>
          <w:tcPr>
            <w:tcW w:w="563" w:type="pct"/>
            <w:vAlign w:val="center"/>
            <w:hideMark/>
          </w:tcPr>
          <w:p w14:paraId="3EEACD32"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≈18,000</w:t>
            </w:r>
          </w:p>
        </w:tc>
      </w:tr>
      <w:tr w:rsidR="00E76CBF" w:rsidRPr="008155C9" w14:paraId="1207E37C" w14:textId="77777777" w:rsidTr="00E3708D">
        <w:tc>
          <w:tcPr>
            <w:tcW w:w="1163" w:type="pct"/>
            <w:vAlign w:val="center"/>
            <w:hideMark/>
          </w:tcPr>
          <w:p w14:paraId="286BAE17" w14:textId="710061D9"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lastRenderedPageBreak/>
              <w:t>Local officials/duty bearers (wider system)</w:t>
            </w:r>
          </w:p>
        </w:tc>
        <w:tc>
          <w:tcPr>
            <w:tcW w:w="763" w:type="pct"/>
            <w:vAlign w:val="center"/>
            <w:hideMark/>
          </w:tcPr>
          <w:p w14:paraId="46026F50"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Indirect</w:t>
            </w:r>
          </w:p>
        </w:tc>
        <w:tc>
          <w:tcPr>
            <w:tcW w:w="2511" w:type="pct"/>
            <w:vAlign w:val="center"/>
            <w:hideMark/>
          </w:tcPr>
          <w:p w14:paraId="66752A6D" w14:textId="595017A8"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t xml:space="preserve">Benefit from clearer coordination, tools, </w:t>
            </w:r>
            <w:r w:rsidR="00BF2D69" w:rsidRPr="008155C9">
              <w:rPr>
                <w:rFonts w:asciiTheme="minorHAnsi" w:hAnsiTheme="minorHAnsi" w:cstheme="minorHAnsi"/>
                <w:sz w:val="22"/>
                <w:szCs w:val="22"/>
                <w:lang w:val="en-US"/>
              </w:rPr>
              <w:t xml:space="preserve">and </w:t>
            </w:r>
            <w:r w:rsidRPr="008155C9">
              <w:rPr>
                <w:rFonts w:asciiTheme="minorHAnsi" w:hAnsiTheme="minorHAnsi" w:cstheme="minorHAnsi"/>
                <w:sz w:val="22"/>
                <w:szCs w:val="22"/>
                <w:lang w:val="en-US"/>
              </w:rPr>
              <w:t>guidance (outside direct trainees)</w:t>
            </w:r>
          </w:p>
        </w:tc>
        <w:tc>
          <w:tcPr>
            <w:tcW w:w="563" w:type="pct"/>
            <w:vAlign w:val="center"/>
            <w:hideMark/>
          </w:tcPr>
          <w:p w14:paraId="37E973AF"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≈1,050</w:t>
            </w:r>
          </w:p>
        </w:tc>
      </w:tr>
      <w:tr w:rsidR="00E76CBF" w:rsidRPr="008155C9" w14:paraId="696B80AF" w14:textId="77777777" w:rsidTr="00E3708D">
        <w:tc>
          <w:tcPr>
            <w:tcW w:w="1163" w:type="pct"/>
            <w:vAlign w:val="center"/>
            <w:hideMark/>
          </w:tcPr>
          <w:p w14:paraId="53AEB688" w14:textId="77777777"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t>CSOs, ministries, networks, development partners</w:t>
            </w:r>
          </w:p>
        </w:tc>
        <w:tc>
          <w:tcPr>
            <w:tcW w:w="763" w:type="pct"/>
            <w:vAlign w:val="center"/>
            <w:hideMark/>
          </w:tcPr>
          <w:p w14:paraId="709D58DE"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Indirect</w:t>
            </w:r>
          </w:p>
        </w:tc>
        <w:tc>
          <w:tcPr>
            <w:tcW w:w="2511" w:type="pct"/>
            <w:vAlign w:val="center"/>
            <w:hideMark/>
          </w:tcPr>
          <w:p w14:paraId="5F673834" w14:textId="77777777"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t>Use shared protocols; contribute to coordination/advocacy</w:t>
            </w:r>
          </w:p>
        </w:tc>
        <w:tc>
          <w:tcPr>
            <w:tcW w:w="563" w:type="pct"/>
            <w:vAlign w:val="center"/>
            <w:hideMark/>
          </w:tcPr>
          <w:p w14:paraId="15E410F7"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≈500</w:t>
            </w:r>
          </w:p>
        </w:tc>
      </w:tr>
      <w:tr w:rsidR="00E76CBF" w:rsidRPr="008155C9" w14:paraId="2D7B3015" w14:textId="77777777" w:rsidTr="00E3708D">
        <w:tc>
          <w:tcPr>
            <w:tcW w:w="1163" w:type="pct"/>
            <w:vAlign w:val="center"/>
            <w:hideMark/>
          </w:tcPr>
          <w:p w14:paraId="5C34B92D"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General community in 32 unions</w:t>
            </w:r>
          </w:p>
        </w:tc>
        <w:tc>
          <w:tcPr>
            <w:tcW w:w="763" w:type="pct"/>
            <w:vAlign w:val="center"/>
            <w:hideMark/>
          </w:tcPr>
          <w:p w14:paraId="6DB0D9FF"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sz w:val="22"/>
                <w:szCs w:val="22"/>
              </w:rPr>
              <w:t>Indirect</w:t>
            </w:r>
          </w:p>
        </w:tc>
        <w:tc>
          <w:tcPr>
            <w:tcW w:w="2511" w:type="pct"/>
            <w:vAlign w:val="center"/>
            <w:hideMark/>
          </w:tcPr>
          <w:p w14:paraId="34A805FF" w14:textId="77777777" w:rsidR="00E76CBF" w:rsidRPr="008155C9" w:rsidRDefault="00E76CBF" w:rsidP="008155C9">
            <w:pPr>
              <w:rPr>
                <w:rFonts w:asciiTheme="minorHAnsi" w:hAnsiTheme="minorHAnsi" w:cstheme="minorHAnsi"/>
                <w:sz w:val="22"/>
                <w:szCs w:val="22"/>
                <w:lang w:val="en-US"/>
              </w:rPr>
            </w:pPr>
            <w:r w:rsidRPr="008155C9">
              <w:rPr>
                <w:rFonts w:asciiTheme="minorHAnsi" w:hAnsiTheme="minorHAnsi" w:cstheme="minorHAnsi"/>
                <w:sz w:val="22"/>
                <w:szCs w:val="22"/>
                <w:lang w:val="en-US"/>
              </w:rPr>
              <w:t>Wider population benefitting from strengthened systems and reduced CM</w:t>
            </w:r>
          </w:p>
        </w:tc>
        <w:tc>
          <w:tcPr>
            <w:tcW w:w="563" w:type="pct"/>
            <w:vAlign w:val="center"/>
            <w:hideMark/>
          </w:tcPr>
          <w:p w14:paraId="2CFAD2F1"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≈230,000</w:t>
            </w:r>
          </w:p>
        </w:tc>
      </w:tr>
      <w:tr w:rsidR="00E76CBF" w:rsidRPr="008155C9" w14:paraId="203B43B7" w14:textId="77777777" w:rsidTr="00E3708D">
        <w:tc>
          <w:tcPr>
            <w:tcW w:w="4437" w:type="pct"/>
            <w:gridSpan w:val="3"/>
            <w:shd w:val="clear" w:color="auto" w:fill="F2DBDB" w:themeFill="accent2" w:themeFillTint="33"/>
            <w:vAlign w:val="center"/>
            <w:hideMark/>
          </w:tcPr>
          <w:p w14:paraId="69F068DF"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b/>
                <w:bCs/>
                <w:sz w:val="22"/>
                <w:szCs w:val="22"/>
              </w:rPr>
              <w:t>Total (direct)</w:t>
            </w:r>
          </w:p>
        </w:tc>
        <w:tc>
          <w:tcPr>
            <w:tcW w:w="563" w:type="pct"/>
            <w:shd w:val="clear" w:color="auto" w:fill="F2DBDB" w:themeFill="accent2" w:themeFillTint="33"/>
            <w:vAlign w:val="center"/>
            <w:hideMark/>
          </w:tcPr>
          <w:p w14:paraId="46F42BA5"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16,224</w:t>
            </w:r>
          </w:p>
        </w:tc>
      </w:tr>
      <w:tr w:rsidR="00E76CBF" w:rsidRPr="008155C9" w14:paraId="5B384755" w14:textId="77777777" w:rsidTr="00E3708D">
        <w:tc>
          <w:tcPr>
            <w:tcW w:w="4437" w:type="pct"/>
            <w:gridSpan w:val="3"/>
            <w:shd w:val="clear" w:color="auto" w:fill="F2DBDB" w:themeFill="accent2" w:themeFillTint="33"/>
            <w:vAlign w:val="center"/>
            <w:hideMark/>
          </w:tcPr>
          <w:p w14:paraId="1CA1971A"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b/>
                <w:bCs/>
                <w:sz w:val="22"/>
                <w:szCs w:val="22"/>
              </w:rPr>
              <w:t>Total (indirect)</w:t>
            </w:r>
          </w:p>
        </w:tc>
        <w:tc>
          <w:tcPr>
            <w:tcW w:w="563" w:type="pct"/>
            <w:shd w:val="clear" w:color="auto" w:fill="F2DBDB" w:themeFill="accent2" w:themeFillTint="33"/>
            <w:vAlign w:val="center"/>
            <w:hideMark/>
          </w:tcPr>
          <w:p w14:paraId="7E2E8F31"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≈249,550</w:t>
            </w:r>
          </w:p>
        </w:tc>
      </w:tr>
      <w:tr w:rsidR="00E76CBF" w:rsidRPr="008155C9" w14:paraId="31A3F477" w14:textId="77777777" w:rsidTr="00E3708D">
        <w:tc>
          <w:tcPr>
            <w:tcW w:w="4437" w:type="pct"/>
            <w:gridSpan w:val="3"/>
            <w:shd w:val="clear" w:color="auto" w:fill="DBE5F1" w:themeFill="accent1" w:themeFillTint="33"/>
            <w:vAlign w:val="center"/>
            <w:hideMark/>
          </w:tcPr>
          <w:p w14:paraId="19155D86" w14:textId="77777777" w:rsidR="00E76CBF" w:rsidRPr="008155C9" w:rsidRDefault="00E76CBF" w:rsidP="008155C9">
            <w:pPr>
              <w:rPr>
                <w:rFonts w:asciiTheme="minorHAnsi" w:hAnsiTheme="minorHAnsi" w:cstheme="minorHAnsi"/>
                <w:sz w:val="22"/>
                <w:szCs w:val="22"/>
              </w:rPr>
            </w:pPr>
            <w:r w:rsidRPr="008155C9">
              <w:rPr>
                <w:rFonts w:asciiTheme="minorHAnsi" w:hAnsiTheme="minorHAnsi" w:cstheme="minorHAnsi"/>
                <w:b/>
                <w:bCs/>
                <w:sz w:val="22"/>
                <w:szCs w:val="22"/>
              </w:rPr>
              <w:t>Total (overall reach)</w:t>
            </w:r>
          </w:p>
        </w:tc>
        <w:tc>
          <w:tcPr>
            <w:tcW w:w="563" w:type="pct"/>
            <w:shd w:val="clear" w:color="auto" w:fill="DBE5F1" w:themeFill="accent1" w:themeFillTint="33"/>
            <w:vAlign w:val="center"/>
            <w:hideMark/>
          </w:tcPr>
          <w:p w14:paraId="63B1A8C2" w14:textId="77777777" w:rsidR="00E76CBF" w:rsidRPr="008155C9" w:rsidRDefault="00E76CBF" w:rsidP="008155C9">
            <w:pPr>
              <w:jc w:val="right"/>
              <w:rPr>
                <w:rFonts w:asciiTheme="minorHAnsi" w:hAnsiTheme="minorHAnsi" w:cstheme="minorHAnsi"/>
                <w:sz w:val="22"/>
                <w:szCs w:val="22"/>
              </w:rPr>
            </w:pPr>
            <w:r w:rsidRPr="008155C9">
              <w:rPr>
                <w:rFonts w:asciiTheme="minorHAnsi" w:hAnsiTheme="minorHAnsi" w:cstheme="minorHAnsi"/>
                <w:b/>
                <w:bCs/>
                <w:sz w:val="22"/>
                <w:szCs w:val="22"/>
              </w:rPr>
              <w:t>≈265,774</w:t>
            </w:r>
          </w:p>
        </w:tc>
      </w:tr>
    </w:tbl>
    <w:p w14:paraId="34BC0EDD" w14:textId="77777777" w:rsidR="002643EB" w:rsidRPr="008155C9" w:rsidRDefault="002643EB" w:rsidP="008155C9">
      <w:pPr>
        <w:spacing w:after="0" w:line="240" w:lineRule="auto"/>
        <w:jc w:val="both"/>
        <w:rPr>
          <w:rFonts w:eastAsia="Times New Roman" w:cstheme="minorHAnsi"/>
          <w:b/>
          <w:bCs/>
          <w:highlight w:val="white"/>
        </w:rPr>
      </w:pPr>
    </w:p>
    <w:p w14:paraId="7D41FF54" w14:textId="304C5ACA" w:rsidR="00C24B03" w:rsidRPr="00E3708D" w:rsidRDefault="00C24B03" w:rsidP="00E3708D">
      <w:pPr>
        <w:pStyle w:val="ListParagraph"/>
        <w:numPr>
          <w:ilvl w:val="0"/>
          <w:numId w:val="21"/>
        </w:numPr>
        <w:spacing w:after="0" w:line="240" w:lineRule="auto"/>
        <w:rPr>
          <w:rFonts w:cstheme="minorHAnsi"/>
          <w:b/>
          <w:bCs/>
          <w:sz w:val="22"/>
          <w:szCs w:val="22"/>
        </w:rPr>
      </w:pPr>
      <w:r w:rsidRPr="00E3708D">
        <w:rPr>
          <w:rFonts w:cstheme="minorHAnsi"/>
          <w:b/>
          <w:bCs/>
          <w:sz w:val="22"/>
          <w:szCs w:val="22"/>
        </w:rPr>
        <w:t>Implementing Partners</w:t>
      </w:r>
    </w:p>
    <w:p w14:paraId="67ED25C9" w14:textId="7F2F7E13" w:rsidR="00C24B03" w:rsidRPr="008155C9" w:rsidRDefault="00C24B03" w:rsidP="008155C9">
      <w:pPr>
        <w:pStyle w:val="BodyText3"/>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 xml:space="preserve">THP is the lead partner of this </w:t>
      </w:r>
      <w:r w:rsidR="00FF450A" w:rsidRPr="008155C9">
        <w:rPr>
          <w:rFonts w:asciiTheme="minorHAnsi" w:hAnsiTheme="minorHAnsi" w:cstheme="minorHAnsi"/>
          <w:sz w:val="22"/>
          <w:szCs w:val="22"/>
        </w:rPr>
        <w:t xml:space="preserve">project </w:t>
      </w:r>
      <w:r w:rsidRPr="008155C9">
        <w:rPr>
          <w:rFonts w:asciiTheme="minorHAnsi" w:hAnsiTheme="minorHAnsi" w:cstheme="minorHAnsi"/>
          <w:sz w:val="22"/>
          <w:szCs w:val="22"/>
        </w:rPr>
        <w:t>along with key 1</w:t>
      </w:r>
      <w:r w:rsidR="00876AB5" w:rsidRPr="008155C9">
        <w:rPr>
          <w:rFonts w:asciiTheme="minorHAnsi" w:hAnsiTheme="minorHAnsi" w:cstheme="minorHAnsi"/>
          <w:sz w:val="22"/>
          <w:szCs w:val="22"/>
        </w:rPr>
        <w:t>28 secondary schools</w:t>
      </w:r>
      <w:r w:rsidRPr="008155C9">
        <w:rPr>
          <w:rFonts w:asciiTheme="minorHAnsi" w:hAnsiTheme="minorHAnsi" w:cstheme="minorHAnsi"/>
          <w:sz w:val="22"/>
          <w:szCs w:val="22"/>
        </w:rPr>
        <w:t xml:space="preserve">, </w:t>
      </w:r>
      <w:r w:rsidR="00876AB5" w:rsidRPr="008155C9">
        <w:rPr>
          <w:rFonts w:asciiTheme="minorHAnsi" w:hAnsiTheme="minorHAnsi" w:cstheme="minorHAnsi"/>
          <w:sz w:val="22"/>
          <w:szCs w:val="22"/>
        </w:rPr>
        <w:t>3</w:t>
      </w:r>
      <w:r w:rsidRPr="008155C9">
        <w:rPr>
          <w:rFonts w:asciiTheme="minorHAnsi" w:hAnsiTheme="minorHAnsi" w:cstheme="minorHAnsi"/>
          <w:sz w:val="22"/>
          <w:szCs w:val="22"/>
        </w:rPr>
        <w:t>2</w:t>
      </w:r>
      <w:r w:rsidR="00876AB5" w:rsidRPr="008155C9">
        <w:rPr>
          <w:rFonts w:asciiTheme="minorHAnsi" w:hAnsiTheme="minorHAnsi" w:cstheme="minorHAnsi"/>
          <w:sz w:val="22"/>
          <w:szCs w:val="22"/>
        </w:rPr>
        <w:t xml:space="preserve"> Union Child Marriage Prevention Committee (UCM</w:t>
      </w:r>
      <w:r w:rsidR="008D07CB" w:rsidRPr="008155C9">
        <w:rPr>
          <w:rFonts w:asciiTheme="minorHAnsi" w:hAnsiTheme="minorHAnsi" w:cstheme="minorHAnsi"/>
          <w:sz w:val="22"/>
          <w:szCs w:val="22"/>
        </w:rPr>
        <w:t>PC)</w:t>
      </w:r>
      <w:r w:rsidRPr="008155C9">
        <w:rPr>
          <w:rFonts w:asciiTheme="minorHAnsi" w:hAnsiTheme="minorHAnsi" w:cstheme="minorHAnsi"/>
          <w:sz w:val="22"/>
          <w:szCs w:val="22"/>
        </w:rPr>
        <w:t xml:space="preserve">, 5 </w:t>
      </w:r>
      <w:r w:rsidR="008D07CB" w:rsidRPr="008155C9">
        <w:rPr>
          <w:rFonts w:asciiTheme="minorHAnsi" w:hAnsiTheme="minorHAnsi" w:cstheme="minorHAnsi"/>
          <w:sz w:val="22"/>
          <w:szCs w:val="22"/>
        </w:rPr>
        <w:t xml:space="preserve">Upazila </w:t>
      </w:r>
      <w:r w:rsidR="00D66C5E" w:rsidRPr="008155C9">
        <w:rPr>
          <w:rFonts w:asciiTheme="minorHAnsi" w:hAnsiTheme="minorHAnsi" w:cstheme="minorHAnsi"/>
          <w:sz w:val="22"/>
          <w:szCs w:val="22"/>
        </w:rPr>
        <w:t>Child Marriage Prevention Committee</w:t>
      </w:r>
      <w:r w:rsidRPr="008155C9">
        <w:rPr>
          <w:rFonts w:asciiTheme="minorHAnsi" w:hAnsiTheme="minorHAnsi" w:cstheme="minorHAnsi"/>
          <w:sz w:val="22"/>
          <w:szCs w:val="22"/>
        </w:rPr>
        <w:t xml:space="preserve">. </w:t>
      </w:r>
    </w:p>
    <w:p w14:paraId="0FCF7BFF" w14:textId="77777777" w:rsidR="00C24B03" w:rsidRPr="008155C9" w:rsidRDefault="00C24B03" w:rsidP="008155C9">
      <w:pPr>
        <w:spacing w:after="0" w:line="240" w:lineRule="auto"/>
        <w:jc w:val="both"/>
        <w:rPr>
          <w:rFonts w:cstheme="minorHAnsi"/>
        </w:rPr>
      </w:pPr>
    </w:p>
    <w:p w14:paraId="25D48F4C" w14:textId="60100B2C" w:rsidR="00C24B03" w:rsidRPr="00C91B1C" w:rsidRDefault="00C24B03" w:rsidP="00C91B1C">
      <w:pPr>
        <w:pStyle w:val="ListParagraph"/>
        <w:numPr>
          <w:ilvl w:val="0"/>
          <w:numId w:val="21"/>
        </w:numPr>
        <w:spacing w:after="0" w:line="240" w:lineRule="auto"/>
        <w:rPr>
          <w:rFonts w:cstheme="minorHAnsi"/>
          <w:b/>
          <w:bCs/>
          <w:sz w:val="22"/>
          <w:szCs w:val="22"/>
        </w:rPr>
      </w:pPr>
      <w:r w:rsidRPr="00C91B1C">
        <w:rPr>
          <w:rFonts w:cstheme="minorHAnsi"/>
          <w:b/>
          <w:bCs/>
          <w:sz w:val="22"/>
          <w:szCs w:val="22"/>
        </w:rPr>
        <w:t xml:space="preserve">Objective </w:t>
      </w:r>
      <w:r w:rsidR="00C91B1C">
        <w:rPr>
          <w:rFonts w:cstheme="minorHAnsi"/>
          <w:b/>
          <w:bCs/>
          <w:sz w:val="22"/>
          <w:szCs w:val="22"/>
        </w:rPr>
        <w:t>o</w:t>
      </w:r>
      <w:r w:rsidR="00C91B1C" w:rsidRPr="00C91B1C">
        <w:rPr>
          <w:rFonts w:cstheme="minorHAnsi"/>
          <w:b/>
          <w:bCs/>
          <w:sz w:val="22"/>
          <w:szCs w:val="22"/>
        </w:rPr>
        <w:t>f This Baseline Survey</w:t>
      </w:r>
    </w:p>
    <w:p w14:paraId="35B425DB" w14:textId="478BCBB1" w:rsidR="00A211A6" w:rsidRDefault="00C24B03" w:rsidP="008155C9">
      <w:pPr>
        <w:pStyle w:val="Default"/>
        <w:jc w:val="both"/>
        <w:rPr>
          <w:rFonts w:asciiTheme="minorHAnsi" w:hAnsiTheme="minorHAnsi" w:cstheme="minorHAnsi"/>
          <w:sz w:val="22"/>
          <w:szCs w:val="22"/>
        </w:rPr>
      </w:pPr>
      <w:r w:rsidRPr="008155C9">
        <w:rPr>
          <w:rFonts w:asciiTheme="minorHAnsi" w:hAnsiTheme="minorHAnsi" w:cstheme="minorHAnsi"/>
          <w:sz w:val="22"/>
          <w:szCs w:val="22"/>
        </w:rPr>
        <w:t xml:space="preserve">This survey is designed to establish a </w:t>
      </w:r>
      <w:r w:rsidR="005A605A" w:rsidRPr="008155C9">
        <w:rPr>
          <w:rFonts w:asciiTheme="minorHAnsi" w:hAnsiTheme="minorHAnsi" w:cstheme="minorHAnsi"/>
          <w:sz w:val="22"/>
          <w:szCs w:val="22"/>
        </w:rPr>
        <w:t xml:space="preserve">benchmark </w:t>
      </w:r>
      <w:r w:rsidRPr="008155C9">
        <w:rPr>
          <w:rFonts w:asciiTheme="minorHAnsi" w:hAnsiTheme="minorHAnsi" w:cstheme="minorHAnsi"/>
          <w:sz w:val="22"/>
          <w:szCs w:val="22"/>
        </w:rPr>
        <w:t xml:space="preserve">for measuring </w:t>
      </w:r>
      <w:r w:rsidR="00FA779A" w:rsidRPr="008155C9">
        <w:rPr>
          <w:rFonts w:asciiTheme="minorHAnsi" w:hAnsiTheme="minorHAnsi" w:cstheme="minorHAnsi"/>
          <w:sz w:val="22"/>
          <w:szCs w:val="22"/>
        </w:rPr>
        <w:t xml:space="preserve">the situation of child marriage </w:t>
      </w:r>
      <w:r w:rsidRPr="008155C9">
        <w:rPr>
          <w:rFonts w:asciiTheme="minorHAnsi" w:hAnsiTheme="minorHAnsi" w:cstheme="minorHAnsi"/>
          <w:sz w:val="22"/>
          <w:szCs w:val="22"/>
        </w:rPr>
        <w:t xml:space="preserve">progress throughout the life cycle of </w:t>
      </w:r>
      <w:r w:rsidRPr="008155C9">
        <w:rPr>
          <w:rFonts w:asciiTheme="minorHAnsi" w:hAnsiTheme="minorHAnsi" w:cstheme="minorHAnsi"/>
          <w:b/>
          <w:bCs/>
          <w:sz w:val="22"/>
          <w:szCs w:val="22"/>
        </w:rPr>
        <w:t>"</w:t>
      </w:r>
      <w:r w:rsidR="00725811" w:rsidRPr="008155C9">
        <w:rPr>
          <w:rFonts w:asciiTheme="minorHAnsi" w:hAnsiTheme="minorHAnsi" w:cstheme="minorHAnsi"/>
          <w:b/>
          <w:bCs/>
          <w:sz w:val="22"/>
          <w:szCs w:val="22"/>
        </w:rPr>
        <w:t xml:space="preserve">Shaping political </w:t>
      </w:r>
      <w:r w:rsidR="00800CD7" w:rsidRPr="008155C9">
        <w:rPr>
          <w:rFonts w:asciiTheme="minorHAnsi" w:hAnsiTheme="minorHAnsi" w:cstheme="minorHAnsi"/>
          <w:b/>
          <w:sz w:val="22"/>
          <w:szCs w:val="22"/>
        </w:rPr>
        <w:t>change - strengthening girls' rights, ending child marriage</w:t>
      </w:r>
      <w:r w:rsidRPr="008155C9">
        <w:rPr>
          <w:rFonts w:asciiTheme="minorHAnsi" w:hAnsiTheme="minorHAnsi" w:cstheme="minorHAnsi"/>
          <w:b/>
          <w:bCs/>
          <w:sz w:val="22"/>
          <w:szCs w:val="22"/>
        </w:rPr>
        <w:t xml:space="preserve">" </w:t>
      </w:r>
      <w:r w:rsidRPr="008155C9">
        <w:rPr>
          <w:rFonts w:asciiTheme="minorHAnsi" w:hAnsiTheme="minorHAnsi" w:cstheme="minorHAnsi"/>
          <w:bCs/>
          <w:sz w:val="22"/>
          <w:szCs w:val="22"/>
        </w:rPr>
        <w:t>pro</w:t>
      </w:r>
      <w:r w:rsidR="00FF450A" w:rsidRPr="008155C9">
        <w:rPr>
          <w:rFonts w:asciiTheme="minorHAnsi" w:hAnsiTheme="minorHAnsi" w:cstheme="minorHAnsi"/>
          <w:bCs/>
          <w:sz w:val="22"/>
          <w:szCs w:val="22"/>
        </w:rPr>
        <w:t>ject</w:t>
      </w:r>
      <w:r w:rsidRPr="008155C9">
        <w:rPr>
          <w:rFonts w:asciiTheme="minorHAnsi" w:hAnsiTheme="minorHAnsi" w:cstheme="minorHAnsi"/>
          <w:bCs/>
          <w:sz w:val="22"/>
          <w:szCs w:val="22"/>
        </w:rPr>
        <w:t>.</w:t>
      </w:r>
      <w:r w:rsidRPr="008155C9">
        <w:rPr>
          <w:rFonts w:asciiTheme="minorHAnsi" w:hAnsiTheme="minorHAnsi" w:cstheme="minorHAnsi"/>
          <w:sz w:val="22"/>
          <w:szCs w:val="22"/>
        </w:rPr>
        <w:t xml:space="preserve"> The study will gather a wide range of data using several approaches and perspectives. </w:t>
      </w:r>
      <w:r w:rsidR="00A211A6" w:rsidRPr="008155C9">
        <w:rPr>
          <w:rFonts w:asciiTheme="minorHAnsi" w:hAnsiTheme="minorHAnsi" w:cstheme="minorHAnsi"/>
          <w:sz w:val="22"/>
          <w:szCs w:val="22"/>
        </w:rPr>
        <w:t xml:space="preserve">By the end of the project, adolescent girls in 32 unions across the districts of </w:t>
      </w:r>
      <w:proofErr w:type="spellStart"/>
      <w:r w:rsidR="00270178">
        <w:rPr>
          <w:rFonts w:asciiTheme="minorHAnsi" w:hAnsiTheme="minorHAnsi" w:cstheme="minorHAnsi"/>
          <w:sz w:val="22"/>
          <w:szCs w:val="22"/>
        </w:rPr>
        <w:t>Barishal</w:t>
      </w:r>
      <w:proofErr w:type="spellEnd"/>
      <w:r w:rsidR="00A211A6" w:rsidRPr="008155C9">
        <w:rPr>
          <w:rFonts w:asciiTheme="minorHAnsi" w:hAnsiTheme="minorHAnsi" w:cstheme="minorHAnsi"/>
          <w:sz w:val="22"/>
          <w:szCs w:val="22"/>
        </w:rPr>
        <w:t>, Jhal</w:t>
      </w:r>
      <w:r w:rsidR="00A01D82" w:rsidRPr="008155C9">
        <w:rPr>
          <w:rFonts w:asciiTheme="minorHAnsi" w:hAnsiTheme="minorHAnsi" w:cstheme="minorHAnsi"/>
          <w:sz w:val="22"/>
          <w:szCs w:val="22"/>
        </w:rPr>
        <w:t>o</w:t>
      </w:r>
      <w:r w:rsidR="00A211A6" w:rsidRPr="008155C9">
        <w:rPr>
          <w:rFonts w:asciiTheme="minorHAnsi" w:hAnsiTheme="minorHAnsi" w:cstheme="minorHAnsi"/>
          <w:sz w:val="22"/>
          <w:szCs w:val="22"/>
        </w:rPr>
        <w:t>kathi and Tangail benefit from a significantly strengthened social and institutional protection environment that improves their school retention, self-determination, and protection from child marriage.</w:t>
      </w:r>
    </w:p>
    <w:p w14:paraId="5152BC18" w14:textId="77777777" w:rsidR="00C91B1C" w:rsidRPr="008155C9" w:rsidRDefault="00C91B1C" w:rsidP="008155C9">
      <w:pPr>
        <w:pStyle w:val="Default"/>
        <w:jc w:val="both"/>
        <w:rPr>
          <w:rFonts w:asciiTheme="minorHAnsi" w:hAnsiTheme="minorHAnsi" w:cstheme="minorHAnsi"/>
          <w:sz w:val="22"/>
          <w:szCs w:val="22"/>
        </w:rPr>
      </w:pPr>
    </w:p>
    <w:p w14:paraId="2F201BD1" w14:textId="64D10E67" w:rsidR="008C2BB7" w:rsidRPr="008155C9" w:rsidRDefault="008C2BB7" w:rsidP="008155C9">
      <w:pPr>
        <w:spacing w:after="0" w:line="240" w:lineRule="auto"/>
        <w:jc w:val="both"/>
        <w:rPr>
          <w:rFonts w:cstheme="minorHAnsi"/>
          <w:b/>
          <w:bCs/>
        </w:rPr>
      </w:pPr>
      <w:r w:rsidRPr="008155C9">
        <w:rPr>
          <w:rFonts w:cstheme="minorHAnsi"/>
          <w:b/>
          <w:bCs/>
        </w:rPr>
        <w:t xml:space="preserve">Specific </w:t>
      </w:r>
      <w:r w:rsidR="004F1917" w:rsidRPr="008155C9">
        <w:rPr>
          <w:rFonts w:cstheme="minorHAnsi"/>
          <w:b/>
          <w:bCs/>
        </w:rPr>
        <w:t>Objectives</w:t>
      </w:r>
    </w:p>
    <w:p w14:paraId="537E26BD" w14:textId="2A542D91" w:rsidR="00E161F3" w:rsidRPr="008155C9" w:rsidRDefault="00E161F3" w:rsidP="008155C9">
      <w:pPr>
        <w:spacing w:after="0" w:line="240" w:lineRule="auto"/>
        <w:jc w:val="both"/>
        <w:rPr>
          <w:rFonts w:cstheme="minorHAnsi"/>
        </w:rPr>
      </w:pPr>
      <w:r w:rsidRPr="00EF0B2E">
        <w:rPr>
          <w:rFonts w:cstheme="minorHAnsi"/>
        </w:rPr>
        <w:t xml:space="preserve">The study must </w:t>
      </w:r>
      <w:r w:rsidRPr="008155C9">
        <w:rPr>
          <w:rFonts w:cstheme="minorHAnsi"/>
        </w:rPr>
        <w:t>establish baseline values for the following impact matrix indicators</w:t>
      </w:r>
      <w:r w:rsidR="00C91B1C">
        <w:rPr>
          <w:rFonts w:cstheme="minorHAnsi"/>
        </w:rPr>
        <w:t>:</w:t>
      </w:r>
      <w:r w:rsidRPr="008155C9">
        <w:rPr>
          <w:rFonts w:cstheme="minorHAnsi"/>
        </w:rPr>
        <w:t xml:space="preserve"> </w:t>
      </w:r>
    </w:p>
    <w:p w14:paraId="5EBD3B48" w14:textId="08BEB6FD" w:rsidR="00E161F3" w:rsidRPr="008155C9" w:rsidRDefault="00E161F3" w:rsidP="008155C9">
      <w:pPr>
        <w:pStyle w:val="ListParagraph"/>
        <w:numPr>
          <w:ilvl w:val="0"/>
          <w:numId w:val="15"/>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Percentage</w:t>
      </w:r>
      <w:r w:rsidRPr="00EF0B2E">
        <w:rPr>
          <w:rFonts w:asciiTheme="minorHAnsi" w:hAnsiTheme="minorHAnsi" w:cstheme="minorHAnsi"/>
          <w:sz w:val="22"/>
          <w:szCs w:val="22"/>
        </w:rPr>
        <w:t xml:space="preserve"> of unmarried girls who can decide whether, when and whom to marry and object to marriage before 18.</w:t>
      </w:r>
    </w:p>
    <w:p w14:paraId="06034451" w14:textId="77777777" w:rsidR="00E161F3" w:rsidRPr="008155C9" w:rsidRDefault="00E161F3" w:rsidP="008155C9">
      <w:pPr>
        <w:pStyle w:val="ListParagraph"/>
        <w:numPr>
          <w:ilvl w:val="0"/>
          <w:numId w:val="15"/>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Percentage</w:t>
      </w:r>
      <w:r w:rsidRPr="00EF0B2E">
        <w:rPr>
          <w:rFonts w:asciiTheme="minorHAnsi" w:hAnsiTheme="minorHAnsi" w:cstheme="minorHAnsi"/>
          <w:sz w:val="22"/>
          <w:szCs w:val="22"/>
        </w:rPr>
        <w:t xml:space="preserve"> of adolescents who initiated prevention measures (approaching authorities/hotlines) in the last 12 months.</w:t>
      </w:r>
    </w:p>
    <w:p w14:paraId="0EF03856" w14:textId="77777777" w:rsidR="00E161F3" w:rsidRPr="008155C9" w:rsidRDefault="00E161F3" w:rsidP="008155C9">
      <w:pPr>
        <w:pStyle w:val="ListParagraph"/>
        <w:numPr>
          <w:ilvl w:val="0"/>
          <w:numId w:val="15"/>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Percentage</w:t>
      </w:r>
      <w:r w:rsidRPr="00EF0B2E">
        <w:rPr>
          <w:rFonts w:asciiTheme="minorHAnsi" w:hAnsiTheme="minorHAnsi" w:cstheme="minorHAnsi"/>
          <w:sz w:val="22"/>
          <w:szCs w:val="22"/>
        </w:rPr>
        <w:t xml:space="preserve"> of teachers, religious leaders, UCMPC members and Women Leaders actively engaged in documented prevention/referral.</w:t>
      </w:r>
    </w:p>
    <w:p w14:paraId="1E7357EC" w14:textId="77777777" w:rsidR="00E161F3" w:rsidRPr="008155C9" w:rsidRDefault="00E161F3" w:rsidP="008155C9">
      <w:pPr>
        <w:pStyle w:val="ListParagraph"/>
        <w:numPr>
          <w:ilvl w:val="0"/>
          <w:numId w:val="15"/>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Percentage</w:t>
      </w:r>
      <w:r w:rsidRPr="00EF0B2E">
        <w:rPr>
          <w:rFonts w:asciiTheme="minorHAnsi" w:hAnsiTheme="minorHAnsi" w:cstheme="minorHAnsi"/>
          <w:sz w:val="22"/>
          <w:szCs w:val="22"/>
        </w:rPr>
        <w:t xml:space="preserve"> of young women (18</w:t>
      </w:r>
      <w:r w:rsidRPr="008155C9">
        <w:rPr>
          <w:rFonts w:asciiTheme="minorHAnsi" w:hAnsiTheme="minorHAnsi" w:cstheme="minorHAnsi"/>
          <w:sz w:val="22"/>
          <w:szCs w:val="22"/>
        </w:rPr>
        <w:t>-</w:t>
      </w:r>
      <w:r w:rsidRPr="00EF0B2E">
        <w:rPr>
          <w:rFonts w:asciiTheme="minorHAnsi" w:hAnsiTheme="minorHAnsi" w:cstheme="minorHAnsi"/>
          <w:sz w:val="22"/>
          <w:szCs w:val="22"/>
        </w:rPr>
        <w:t>24) married before age 18.</w:t>
      </w:r>
    </w:p>
    <w:p w14:paraId="1AFF427B" w14:textId="77777777" w:rsidR="00E161F3" w:rsidRPr="008155C9" w:rsidRDefault="00E161F3" w:rsidP="008155C9">
      <w:pPr>
        <w:pStyle w:val="ListParagraph"/>
        <w:numPr>
          <w:ilvl w:val="0"/>
          <w:numId w:val="15"/>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Percentage</w:t>
      </w:r>
      <w:r w:rsidRPr="00EF0B2E">
        <w:rPr>
          <w:rFonts w:asciiTheme="minorHAnsi" w:hAnsiTheme="minorHAnsi" w:cstheme="minorHAnsi"/>
          <w:sz w:val="22"/>
          <w:szCs w:val="22"/>
        </w:rPr>
        <w:t xml:space="preserve"> of adolescents demonstrating improved knowledge of SRHR, CMRA</w:t>
      </w:r>
      <w:r w:rsidRPr="008155C9">
        <w:rPr>
          <w:rFonts w:asciiTheme="minorHAnsi" w:hAnsiTheme="minorHAnsi" w:cstheme="minorHAnsi"/>
          <w:sz w:val="22"/>
          <w:szCs w:val="22"/>
        </w:rPr>
        <w:t xml:space="preserve"> 2017</w:t>
      </w:r>
      <w:r w:rsidRPr="00EF0B2E">
        <w:rPr>
          <w:rFonts w:asciiTheme="minorHAnsi" w:hAnsiTheme="minorHAnsi" w:cstheme="minorHAnsi"/>
          <w:sz w:val="22"/>
          <w:szCs w:val="22"/>
        </w:rPr>
        <w:t xml:space="preserve"> and digital/cyber safety risks.</w:t>
      </w:r>
    </w:p>
    <w:p w14:paraId="28A2F354" w14:textId="07C36126" w:rsidR="00E161F3" w:rsidRPr="008155C9" w:rsidRDefault="00E161F3" w:rsidP="008155C9">
      <w:pPr>
        <w:pStyle w:val="ListParagraph"/>
        <w:numPr>
          <w:ilvl w:val="0"/>
          <w:numId w:val="15"/>
        </w:numPr>
        <w:spacing w:after="0" w:line="240" w:lineRule="auto"/>
        <w:jc w:val="both"/>
        <w:rPr>
          <w:rFonts w:asciiTheme="minorHAnsi" w:hAnsiTheme="minorHAnsi" w:cstheme="minorHAnsi"/>
          <w:sz w:val="22"/>
          <w:szCs w:val="22"/>
        </w:rPr>
      </w:pPr>
      <w:r w:rsidRPr="00EF0B2E">
        <w:rPr>
          <w:rFonts w:asciiTheme="minorHAnsi" w:hAnsiTheme="minorHAnsi" w:cstheme="minorHAnsi"/>
          <w:sz w:val="22"/>
          <w:szCs w:val="22"/>
        </w:rPr>
        <w:t>Current functionality status of 128 School YEH Units and 37 UCMPCs (</w:t>
      </w:r>
      <w:r w:rsidR="00AC129B" w:rsidRPr="008155C9">
        <w:rPr>
          <w:rFonts w:asciiTheme="minorHAnsi" w:hAnsiTheme="minorHAnsi" w:cstheme="minorHAnsi"/>
          <w:sz w:val="22"/>
          <w:szCs w:val="22"/>
        </w:rPr>
        <w:t xml:space="preserve">32 </w:t>
      </w:r>
      <w:r w:rsidRPr="00EF0B2E">
        <w:rPr>
          <w:rFonts w:asciiTheme="minorHAnsi" w:hAnsiTheme="minorHAnsi" w:cstheme="minorHAnsi"/>
          <w:sz w:val="22"/>
          <w:szCs w:val="22"/>
        </w:rPr>
        <w:t>Union</w:t>
      </w:r>
      <w:r w:rsidR="00AC129B" w:rsidRPr="008155C9">
        <w:rPr>
          <w:rFonts w:asciiTheme="minorHAnsi" w:hAnsiTheme="minorHAnsi" w:cstheme="minorHAnsi"/>
          <w:sz w:val="22"/>
          <w:szCs w:val="22"/>
        </w:rPr>
        <w:t xml:space="preserve"> and 5 </w:t>
      </w:r>
      <w:r w:rsidRPr="00EF0B2E">
        <w:rPr>
          <w:rFonts w:asciiTheme="minorHAnsi" w:hAnsiTheme="minorHAnsi" w:cstheme="minorHAnsi"/>
          <w:sz w:val="22"/>
          <w:szCs w:val="22"/>
        </w:rPr>
        <w:t>Upazila level) based on the "minimum functionality criteria" defined in the proposal.</w:t>
      </w:r>
    </w:p>
    <w:p w14:paraId="043C1ED2" w14:textId="0E74A35F" w:rsidR="00E161F3" w:rsidRPr="008155C9" w:rsidRDefault="00E161F3" w:rsidP="008155C9">
      <w:pPr>
        <w:pStyle w:val="ListParagraph"/>
        <w:numPr>
          <w:ilvl w:val="0"/>
          <w:numId w:val="15"/>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Percentage</w:t>
      </w:r>
      <w:r w:rsidRPr="00EF0B2E">
        <w:rPr>
          <w:rFonts w:asciiTheme="minorHAnsi" w:hAnsiTheme="minorHAnsi" w:cstheme="minorHAnsi"/>
          <w:sz w:val="22"/>
          <w:szCs w:val="22"/>
        </w:rPr>
        <w:t xml:space="preserve"> of community members who explicitly reject child marriage even in cases of poverty or harassment.</w:t>
      </w:r>
    </w:p>
    <w:p w14:paraId="67C2D85E" w14:textId="77777777" w:rsidR="004F1917" w:rsidRDefault="004F1917" w:rsidP="003D663F">
      <w:pPr>
        <w:spacing w:after="0" w:line="240" w:lineRule="auto"/>
        <w:jc w:val="both"/>
        <w:rPr>
          <w:rFonts w:cstheme="minorHAnsi"/>
        </w:rPr>
      </w:pPr>
    </w:p>
    <w:p w14:paraId="5EC6BD53" w14:textId="4309AA24" w:rsidR="004F1917" w:rsidRPr="004F1917" w:rsidRDefault="004F1917" w:rsidP="004F1917">
      <w:pPr>
        <w:spacing w:after="0" w:line="240" w:lineRule="auto"/>
        <w:jc w:val="both"/>
        <w:rPr>
          <w:rFonts w:cstheme="minorHAnsi"/>
          <w:b/>
          <w:bCs/>
        </w:rPr>
      </w:pPr>
      <w:r w:rsidRPr="004F1917">
        <w:rPr>
          <w:rFonts w:cstheme="minorHAnsi"/>
          <w:b/>
          <w:bCs/>
        </w:rPr>
        <w:t xml:space="preserve">Broader Objectives </w:t>
      </w:r>
    </w:p>
    <w:p w14:paraId="60802015" w14:textId="299A22F0" w:rsidR="008C2BB7" w:rsidRPr="008155C9" w:rsidRDefault="008C2BB7" w:rsidP="008155C9">
      <w:pPr>
        <w:pStyle w:val="ListParagraph"/>
        <w:numPr>
          <w:ilvl w:val="0"/>
          <w:numId w:val="7"/>
        </w:numPr>
        <w:spacing w:after="0" w:line="240" w:lineRule="auto"/>
        <w:jc w:val="both"/>
        <w:rPr>
          <w:rFonts w:asciiTheme="minorHAnsi" w:hAnsiTheme="minorHAnsi" w:cstheme="minorHAnsi"/>
          <w:b/>
          <w:sz w:val="22"/>
          <w:szCs w:val="22"/>
        </w:rPr>
      </w:pPr>
      <w:r w:rsidRPr="008155C9">
        <w:rPr>
          <w:rFonts w:asciiTheme="minorHAnsi" w:hAnsiTheme="minorHAnsi" w:cstheme="minorHAnsi"/>
          <w:sz w:val="22"/>
          <w:szCs w:val="22"/>
        </w:rPr>
        <w:t xml:space="preserve">To assess the awareness level of community people regarding </w:t>
      </w:r>
      <w:r w:rsidR="000059BE" w:rsidRPr="008155C9">
        <w:rPr>
          <w:rFonts w:asciiTheme="minorHAnsi" w:hAnsiTheme="minorHAnsi" w:cstheme="minorHAnsi"/>
          <w:sz w:val="22"/>
          <w:szCs w:val="22"/>
        </w:rPr>
        <w:t>Sexual Reproductive Health and Rights (SRHR), C</w:t>
      </w:r>
      <w:r w:rsidRPr="008155C9">
        <w:rPr>
          <w:rFonts w:asciiTheme="minorHAnsi" w:hAnsiTheme="minorHAnsi" w:cstheme="minorHAnsi"/>
          <w:sz w:val="22"/>
          <w:szCs w:val="22"/>
        </w:rPr>
        <w:t xml:space="preserve">hild </w:t>
      </w:r>
      <w:r w:rsidR="000059BE" w:rsidRPr="008155C9">
        <w:rPr>
          <w:rFonts w:asciiTheme="minorHAnsi" w:hAnsiTheme="minorHAnsi" w:cstheme="minorHAnsi"/>
          <w:sz w:val="22"/>
          <w:szCs w:val="22"/>
        </w:rPr>
        <w:t>M</w:t>
      </w:r>
      <w:r w:rsidRPr="008155C9">
        <w:rPr>
          <w:rFonts w:asciiTheme="minorHAnsi" w:hAnsiTheme="minorHAnsi" w:cstheme="minorHAnsi"/>
          <w:sz w:val="22"/>
          <w:szCs w:val="22"/>
        </w:rPr>
        <w:t>arriage Restraint Act 2017, child rights and legal issues at an individual, household level and community level</w:t>
      </w:r>
    </w:p>
    <w:p w14:paraId="55F11B8F" w14:textId="77777777" w:rsidR="0083506D" w:rsidRPr="008155C9" w:rsidRDefault="003C51D4" w:rsidP="008155C9">
      <w:pPr>
        <w:pStyle w:val="ListParagraph"/>
        <w:numPr>
          <w:ilvl w:val="0"/>
          <w:numId w:val="7"/>
        </w:numPr>
        <w:spacing w:after="0" w:line="240" w:lineRule="auto"/>
        <w:jc w:val="both"/>
        <w:rPr>
          <w:rFonts w:asciiTheme="minorHAnsi" w:hAnsiTheme="minorHAnsi" w:cstheme="minorHAnsi"/>
          <w:b/>
          <w:sz w:val="22"/>
          <w:szCs w:val="22"/>
        </w:rPr>
      </w:pPr>
      <w:r w:rsidRPr="008155C9">
        <w:rPr>
          <w:rFonts w:asciiTheme="minorHAnsi" w:hAnsiTheme="minorHAnsi" w:cstheme="minorHAnsi"/>
          <w:sz w:val="22"/>
          <w:szCs w:val="22"/>
        </w:rPr>
        <w:t>To assess the capacity level of CBOs (VDT, Women Leaders, Youth leaders,</w:t>
      </w:r>
      <w:r w:rsidR="00512539" w:rsidRPr="008155C9">
        <w:rPr>
          <w:rFonts w:asciiTheme="minorHAnsi" w:hAnsiTheme="minorHAnsi" w:cstheme="minorHAnsi"/>
          <w:sz w:val="22"/>
          <w:szCs w:val="22"/>
        </w:rPr>
        <w:t xml:space="preserve"> religious leaders, teachers</w:t>
      </w:r>
      <w:r w:rsidRPr="008155C9">
        <w:rPr>
          <w:rFonts w:asciiTheme="minorHAnsi" w:hAnsiTheme="minorHAnsi" w:cstheme="minorHAnsi"/>
          <w:sz w:val="22"/>
          <w:szCs w:val="22"/>
        </w:rPr>
        <w:t xml:space="preserve">), School </w:t>
      </w:r>
      <w:r w:rsidR="00512539" w:rsidRPr="008155C9">
        <w:rPr>
          <w:rFonts w:asciiTheme="minorHAnsi" w:hAnsiTheme="minorHAnsi" w:cstheme="minorHAnsi"/>
          <w:sz w:val="22"/>
          <w:szCs w:val="22"/>
        </w:rPr>
        <w:t xml:space="preserve">Youth Unit members </w:t>
      </w:r>
      <w:r w:rsidRPr="008155C9">
        <w:rPr>
          <w:rFonts w:asciiTheme="minorHAnsi" w:hAnsiTheme="minorHAnsi" w:cstheme="minorHAnsi"/>
          <w:sz w:val="22"/>
          <w:szCs w:val="22"/>
        </w:rPr>
        <w:t>a</w:t>
      </w:r>
      <w:r w:rsidR="00512539" w:rsidRPr="008155C9">
        <w:rPr>
          <w:rFonts w:asciiTheme="minorHAnsi" w:hAnsiTheme="minorHAnsi" w:cstheme="minorHAnsi"/>
          <w:sz w:val="22"/>
          <w:szCs w:val="22"/>
        </w:rPr>
        <w:t>t school</w:t>
      </w:r>
      <w:r w:rsidRPr="008155C9">
        <w:rPr>
          <w:rFonts w:asciiTheme="minorHAnsi" w:hAnsiTheme="minorHAnsi" w:cstheme="minorHAnsi"/>
          <w:sz w:val="22"/>
          <w:szCs w:val="22"/>
        </w:rPr>
        <w:t xml:space="preserve"> level) and </w:t>
      </w:r>
      <w:r w:rsidR="00417CCD" w:rsidRPr="008155C9">
        <w:rPr>
          <w:rFonts w:asciiTheme="minorHAnsi" w:hAnsiTheme="minorHAnsi" w:cstheme="minorHAnsi"/>
          <w:sz w:val="22"/>
          <w:szCs w:val="22"/>
        </w:rPr>
        <w:t xml:space="preserve">Union Child Marriage Prevention </w:t>
      </w:r>
      <w:r w:rsidR="00417CCD" w:rsidRPr="008155C9">
        <w:rPr>
          <w:rFonts w:asciiTheme="minorHAnsi" w:hAnsiTheme="minorHAnsi" w:cstheme="minorHAnsi"/>
          <w:sz w:val="22"/>
          <w:szCs w:val="22"/>
        </w:rPr>
        <w:lastRenderedPageBreak/>
        <w:t>Committee (UCMPC) members and Upazila Child Marriage Prevention Committee (UCMPC) members</w:t>
      </w:r>
      <w:r w:rsidR="00F977A0" w:rsidRPr="008155C9">
        <w:rPr>
          <w:rFonts w:asciiTheme="minorHAnsi" w:hAnsiTheme="minorHAnsi" w:cstheme="minorHAnsi"/>
          <w:sz w:val="22"/>
          <w:szCs w:val="22"/>
        </w:rPr>
        <w:t>.</w:t>
      </w:r>
    </w:p>
    <w:p w14:paraId="01358611" w14:textId="6CDA1D2B" w:rsidR="0083506D" w:rsidRPr="004F1917" w:rsidRDefault="0083506D" w:rsidP="008155C9">
      <w:pPr>
        <w:pStyle w:val="ListParagraph"/>
        <w:numPr>
          <w:ilvl w:val="0"/>
          <w:numId w:val="7"/>
        </w:numPr>
        <w:spacing w:after="0" w:line="240" w:lineRule="auto"/>
        <w:jc w:val="both"/>
        <w:rPr>
          <w:rFonts w:asciiTheme="minorHAnsi" w:hAnsiTheme="minorHAnsi" w:cstheme="minorHAnsi"/>
          <w:b/>
          <w:sz w:val="22"/>
          <w:szCs w:val="22"/>
        </w:rPr>
      </w:pPr>
      <w:r w:rsidRPr="004F1917">
        <w:rPr>
          <w:rFonts w:asciiTheme="minorHAnsi" w:hAnsiTheme="minorHAnsi" w:cstheme="minorHAnsi"/>
          <w:sz w:val="22"/>
          <w:szCs w:val="22"/>
        </w:rPr>
        <w:t xml:space="preserve">To document the underlying and root causes of </w:t>
      </w:r>
      <w:r w:rsidR="00736467" w:rsidRPr="004F1917">
        <w:rPr>
          <w:rFonts w:asciiTheme="minorHAnsi" w:hAnsiTheme="minorHAnsi" w:cstheme="minorHAnsi"/>
          <w:sz w:val="22"/>
          <w:szCs w:val="22"/>
        </w:rPr>
        <w:t xml:space="preserve">child marriage and </w:t>
      </w:r>
      <w:r w:rsidRPr="004F1917">
        <w:rPr>
          <w:rFonts w:asciiTheme="minorHAnsi" w:hAnsiTheme="minorHAnsi" w:cstheme="minorHAnsi"/>
          <w:sz w:val="22"/>
          <w:szCs w:val="22"/>
        </w:rPr>
        <w:t>their consequences.</w:t>
      </w:r>
    </w:p>
    <w:p w14:paraId="4DB79F26" w14:textId="77777777" w:rsidR="004F1917" w:rsidRPr="004F1917" w:rsidRDefault="00FC23E7" w:rsidP="004F1917">
      <w:pPr>
        <w:pStyle w:val="ListParagraph"/>
        <w:numPr>
          <w:ilvl w:val="0"/>
          <w:numId w:val="7"/>
        </w:numPr>
        <w:spacing w:after="0" w:line="240" w:lineRule="auto"/>
        <w:jc w:val="both"/>
        <w:rPr>
          <w:rFonts w:asciiTheme="minorHAnsi" w:hAnsiTheme="minorHAnsi" w:cstheme="minorHAnsi"/>
          <w:b/>
          <w:sz w:val="22"/>
          <w:szCs w:val="22"/>
        </w:rPr>
      </w:pPr>
      <w:r w:rsidRPr="008155C9">
        <w:rPr>
          <w:rFonts w:asciiTheme="minorHAnsi" w:hAnsiTheme="minorHAnsi" w:cstheme="minorHAnsi"/>
          <w:sz w:val="22"/>
          <w:szCs w:val="22"/>
        </w:rPr>
        <w:t>To gather data and information to establish a benchmark for evaluating the effectiveness and impact of the project.</w:t>
      </w:r>
    </w:p>
    <w:p w14:paraId="455ED2F2" w14:textId="5E150A4B" w:rsidR="00F977A0" w:rsidRPr="004F1917" w:rsidRDefault="00F977A0" w:rsidP="004F1917">
      <w:pPr>
        <w:pStyle w:val="ListParagraph"/>
        <w:numPr>
          <w:ilvl w:val="0"/>
          <w:numId w:val="7"/>
        </w:numPr>
        <w:spacing w:after="0" w:line="240" w:lineRule="auto"/>
        <w:jc w:val="both"/>
        <w:rPr>
          <w:rFonts w:asciiTheme="minorHAnsi" w:hAnsiTheme="minorHAnsi" w:cstheme="minorHAnsi"/>
          <w:sz w:val="22"/>
          <w:szCs w:val="22"/>
        </w:rPr>
      </w:pPr>
      <w:r w:rsidRPr="004F1917">
        <w:rPr>
          <w:rFonts w:asciiTheme="minorHAnsi" w:hAnsiTheme="minorHAnsi" w:cstheme="minorHAnsi"/>
          <w:sz w:val="22"/>
          <w:szCs w:val="22"/>
        </w:rPr>
        <w:t xml:space="preserve">To analyze the current situation of </w:t>
      </w:r>
      <w:r w:rsidR="00FF450A" w:rsidRPr="004F1917">
        <w:rPr>
          <w:rFonts w:asciiTheme="minorHAnsi" w:hAnsiTheme="minorHAnsi" w:cstheme="minorHAnsi"/>
          <w:sz w:val="22"/>
          <w:szCs w:val="22"/>
        </w:rPr>
        <w:t>girls' rights</w:t>
      </w:r>
      <w:r w:rsidRPr="004F1917">
        <w:rPr>
          <w:rFonts w:asciiTheme="minorHAnsi" w:hAnsiTheme="minorHAnsi" w:cstheme="minorHAnsi"/>
          <w:sz w:val="22"/>
          <w:szCs w:val="22"/>
        </w:rPr>
        <w:t>;</w:t>
      </w:r>
      <w:r w:rsidR="004F1917" w:rsidRPr="004F1917">
        <w:rPr>
          <w:rFonts w:asciiTheme="minorHAnsi" w:hAnsiTheme="minorHAnsi" w:cstheme="minorHAnsi"/>
          <w:sz w:val="22"/>
          <w:szCs w:val="22"/>
        </w:rPr>
        <w:t xml:space="preserve"> </w:t>
      </w:r>
      <w:r w:rsidR="005B1435">
        <w:rPr>
          <w:rFonts w:asciiTheme="minorHAnsi" w:hAnsiTheme="minorHAnsi" w:cstheme="minorHAnsi"/>
          <w:sz w:val="22"/>
          <w:szCs w:val="22"/>
        </w:rPr>
        <w:t>e</w:t>
      </w:r>
      <w:r w:rsidRPr="004F1917">
        <w:rPr>
          <w:rFonts w:asciiTheme="minorHAnsi" w:hAnsiTheme="minorHAnsi" w:cstheme="minorHAnsi"/>
          <w:sz w:val="22"/>
          <w:szCs w:val="22"/>
        </w:rPr>
        <w:t>arly marriage</w:t>
      </w:r>
      <w:r w:rsidR="004F1917" w:rsidRPr="004F1917">
        <w:rPr>
          <w:rFonts w:asciiTheme="minorHAnsi" w:hAnsiTheme="minorHAnsi" w:cstheme="minorHAnsi"/>
          <w:sz w:val="22"/>
          <w:szCs w:val="22"/>
        </w:rPr>
        <w:t xml:space="preserve">; </w:t>
      </w:r>
      <w:r w:rsidR="005B1435">
        <w:rPr>
          <w:rFonts w:asciiTheme="minorHAnsi" w:hAnsiTheme="minorHAnsi" w:cstheme="minorHAnsi"/>
          <w:sz w:val="22"/>
          <w:szCs w:val="22"/>
        </w:rPr>
        <w:t>d</w:t>
      </w:r>
      <w:r w:rsidR="00E23632" w:rsidRPr="004F1917">
        <w:rPr>
          <w:rFonts w:asciiTheme="minorHAnsi" w:hAnsiTheme="minorHAnsi" w:cstheme="minorHAnsi"/>
          <w:sz w:val="22"/>
          <w:szCs w:val="22"/>
        </w:rPr>
        <w:t>ropout rate in school</w:t>
      </w:r>
      <w:r w:rsidR="004F1917" w:rsidRPr="004F1917">
        <w:rPr>
          <w:rFonts w:asciiTheme="minorHAnsi" w:hAnsiTheme="minorHAnsi" w:cstheme="minorHAnsi"/>
          <w:sz w:val="22"/>
          <w:szCs w:val="22"/>
        </w:rPr>
        <w:t xml:space="preserve">; </w:t>
      </w:r>
      <w:r w:rsidR="005B1435">
        <w:rPr>
          <w:rFonts w:asciiTheme="minorHAnsi" w:hAnsiTheme="minorHAnsi" w:cstheme="minorHAnsi"/>
          <w:sz w:val="22"/>
          <w:szCs w:val="22"/>
        </w:rPr>
        <w:t>a</w:t>
      </w:r>
      <w:r w:rsidR="00FF450A" w:rsidRPr="004F1917">
        <w:rPr>
          <w:rFonts w:asciiTheme="minorHAnsi" w:hAnsiTheme="minorHAnsi" w:cstheme="minorHAnsi"/>
          <w:sz w:val="22"/>
          <w:szCs w:val="22"/>
        </w:rPr>
        <w:t>t-risk</w:t>
      </w:r>
      <w:r w:rsidR="00E23632" w:rsidRPr="004F1917">
        <w:rPr>
          <w:rFonts w:asciiTheme="minorHAnsi" w:hAnsiTheme="minorHAnsi" w:cstheme="minorHAnsi"/>
          <w:sz w:val="22"/>
          <w:szCs w:val="22"/>
        </w:rPr>
        <w:t xml:space="preserve"> girls</w:t>
      </w:r>
      <w:r w:rsidR="004F1917" w:rsidRPr="004F1917">
        <w:rPr>
          <w:rFonts w:asciiTheme="minorHAnsi" w:hAnsiTheme="minorHAnsi" w:cstheme="minorHAnsi"/>
          <w:sz w:val="22"/>
          <w:szCs w:val="22"/>
        </w:rPr>
        <w:t xml:space="preserve">; </w:t>
      </w:r>
      <w:r w:rsidR="005B1435">
        <w:rPr>
          <w:rFonts w:asciiTheme="minorHAnsi" w:hAnsiTheme="minorHAnsi" w:cstheme="minorHAnsi"/>
          <w:sz w:val="22"/>
          <w:szCs w:val="22"/>
        </w:rPr>
        <w:t>s</w:t>
      </w:r>
      <w:r w:rsidR="00E23632" w:rsidRPr="004F1917">
        <w:rPr>
          <w:rFonts w:asciiTheme="minorHAnsi" w:hAnsiTheme="minorHAnsi" w:cstheme="minorHAnsi"/>
          <w:sz w:val="22"/>
          <w:szCs w:val="22"/>
        </w:rPr>
        <w:t>ocial media</w:t>
      </w:r>
      <w:r w:rsidRPr="004F1917">
        <w:rPr>
          <w:rFonts w:asciiTheme="minorHAnsi" w:hAnsiTheme="minorHAnsi" w:cstheme="minorHAnsi"/>
          <w:sz w:val="22"/>
          <w:szCs w:val="22"/>
        </w:rPr>
        <w:t xml:space="preserve"> violence</w:t>
      </w:r>
      <w:r w:rsidR="004F1917" w:rsidRPr="004F1917">
        <w:rPr>
          <w:rFonts w:asciiTheme="minorHAnsi" w:hAnsiTheme="minorHAnsi" w:cstheme="minorHAnsi"/>
          <w:sz w:val="22"/>
          <w:szCs w:val="22"/>
        </w:rPr>
        <w:t xml:space="preserve">; </w:t>
      </w:r>
      <w:r w:rsidR="005B1435">
        <w:rPr>
          <w:rFonts w:asciiTheme="minorHAnsi" w:hAnsiTheme="minorHAnsi" w:cstheme="minorHAnsi"/>
          <w:sz w:val="22"/>
          <w:szCs w:val="22"/>
        </w:rPr>
        <w:t>r</w:t>
      </w:r>
      <w:r w:rsidR="006B3FB5" w:rsidRPr="004F1917">
        <w:rPr>
          <w:rFonts w:asciiTheme="minorHAnsi" w:hAnsiTheme="minorHAnsi" w:cstheme="minorHAnsi"/>
          <w:sz w:val="22"/>
          <w:szCs w:val="22"/>
        </w:rPr>
        <w:t>oot causes of child marriage</w:t>
      </w:r>
      <w:r w:rsidR="004F1917" w:rsidRPr="004F1917">
        <w:rPr>
          <w:rFonts w:asciiTheme="minorHAnsi" w:hAnsiTheme="minorHAnsi" w:cstheme="minorHAnsi"/>
          <w:sz w:val="22"/>
          <w:szCs w:val="22"/>
        </w:rPr>
        <w:t xml:space="preserve">; </w:t>
      </w:r>
      <w:r w:rsidR="005B1435">
        <w:rPr>
          <w:rFonts w:asciiTheme="minorHAnsi" w:hAnsiTheme="minorHAnsi" w:cstheme="minorHAnsi"/>
          <w:sz w:val="22"/>
          <w:szCs w:val="22"/>
        </w:rPr>
        <w:t>g</w:t>
      </w:r>
      <w:r w:rsidR="006B3FB5" w:rsidRPr="004F1917">
        <w:rPr>
          <w:rFonts w:asciiTheme="minorHAnsi" w:hAnsiTheme="minorHAnsi" w:cstheme="minorHAnsi"/>
          <w:sz w:val="22"/>
          <w:szCs w:val="22"/>
        </w:rPr>
        <w:t>irl</w:t>
      </w:r>
      <w:r w:rsidRPr="004F1917">
        <w:rPr>
          <w:rFonts w:asciiTheme="minorHAnsi" w:hAnsiTheme="minorHAnsi" w:cstheme="minorHAnsi"/>
          <w:sz w:val="22"/>
          <w:szCs w:val="22"/>
        </w:rPr>
        <w:t>’s participation in family, community and institutions</w:t>
      </w:r>
      <w:r w:rsidR="004F1917" w:rsidRPr="004F1917">
        <w:rPr>
          <w:rFonts w:asciiTheme="minorHAnsi" w:hAnsiTheme="minorHAnsi" w:cstheme="minorHAnsi"/>
          <w:sz w:val="22"/>
          <w:szCs w:val="22"/>
        </w:rPr>
        <w:t xml:space="preserve"> etc.</w:t>
      </w:r>
    </w:p>
    <w:p w14:paraId="61CF7430" w14:textId="77777777" w:rsidR="00F977A0" w:rsidRPr="008155C9" w:rsidRDefault="00F977A0" w:rsidP="008155C9">
      <w:pPr>
        <w:pStyle w:val="ListParagraph"/>
        <w:spacing w:after="0" w:line="240" w:lineRule="auto"/>
        <w:ind w:left="2880"/>
        <w:jc w:val="both"/>
        <w:rPr>
          <w:rFonts w:asciiTheme="minorHAnsi" w:hAnsiTheme="minorHAnsi" w:cstheme="minorHAnsi"/>
          <w:sz w:val="22"/>
          <w:szCs w:val="22"/>
        </w:rPr>
      </w:pPr>
    </w:p>
    <w:p w14:paraId="3A5C0624" w14:textId="0A39E5EB" w:rsidR="008155C9" w:rsidRPr="008155C9" w:rsidRDefault="008155C9" w:rsidP="00C91B1C">
      <w:pPr>
        <w:pStyle w:val="Heading1"/>
        <w:spacing w:before="0" w:line="240" w:lineRule="auto"/>
        <w:jc w:val="center"/>
        <w:rPr>
          <w:rFonts w:asciiTheme="minorHAnsi" w:hAnsiTheme="minorHAnsi" w:cstheme="minorHAnsi"/>
          <w:b/>
          <w:bCs/>
          <w:sz w:val="22"/>
          <w:szCs w:val="22"/>
        </w:rPr>
      </w:pPr>
      <w:r w:rsidRPr="008155C9">
        <w:rPr>
          <w:rFonts w:asciiTheme="minorHAnsi" w:hAnsiTheme="minorHAnsi" w:cstheme="minorHAnsi"/>
          <w:b/>
          <w:bCs/>
          <w:color w:val="auto"/>
          <w:sz w:val="22"/>
          <w:szCs w:val="22"/>
        </w:rPr>
        <w:t xml:space="preserve">Impact </w:t>
      </w:r>
      <w:r w:rsidR="00C91B1C" w:rsidRPr="008155C9">
        <w:rPr>
          <w:rFonts w:asciiTheme="minorHAnsi" w:hAnsiTheme="minorHAnsi" w:cstheme="minorHAnsi"/>
          <w:b/>
          <w:bCs/>
          <w:color w:val="auto"/>
          <w:sz w:val="22"/>
          <w:szCs w:val="22"/>
        </w:rPr>
        <w:t xml:space="preserve">Matrix (Significance </w:t>
      </w:r>
      <w:r w:rsidR="00C91B1C">
        <w:rPr>
          <w:rFonts w:asciiTheme="minorHAnsi" w:hAnsiTheme="minorHAnsi" w:cstheme="minorHAnsi"/>
          <w:b/>
          <w:bCs/>
          <w:color w:val="auto"/>
          <w:sz w:val="22"/>
          <w:szCs w:val="22"/>
        </w:rPr>
        <w:t>a</w:t>
      </w:r>
      <w:r w:rsidR="00C91B1C" w:rsidRPr="008155C9">
        <w:rPr>
          <w:rFonts w:asciiTheme="minorHAnsi" w:hAnsiTheme="minorHAnsi" w:cstheme="minorHAnsi"/>
          <w:b/>
          <w:bCs/>
          <w:color w:val="auto"/>
          <w:sz w:val="22"/>
          <w:szCs w:val="22"/>
        </w:rPr>
        <w:t>nd Effectiveness)</w:t>
      </w:r>
    </w:p>
    <w:tbl>
      <w:tblPr>
        <w:tblStyle w:val="TableGrid"/>
        <w:tblW w:w="5000" w:type="pct"/>
        <w:tblLook w:val="04A0" w:firstRow="1" w:lastRow="0" w:firstColumn="1" w:lastColumn="0" w:noHBand="0" w:noVBand="1"/>
      </w:tblPr>
      <w:tblGrid>
        <w:gridCol w:w="3084"/>
        <w:gridCol w:w="2820"/>
        <w:gridCol w:w="3446"/>
      </w:tblGrid>
      <w:tr w:rsidR="008155C9" w:rsidRPr="00C91B1C" w14:paraId="5FC506CC" w14:textId="77777777" w:rsidTr="00C91B1C">
        <w:trPr>
          <w:trHeight w:val="246"/>
        </w:trPr>
        <w:tc>
          <w:tcPr>
            <w:tcW w:w="5000" w:type="pct"/>
            <w:gridSpan w:val="3"/>
          </w:tcPr>
          <w:p w14:paraId="7764595C" w14:textId="77777777" w:rsidR="008155C9" w:rsidRPr="00C91B1C" w:rsidRDefault="008155C9" w:rsidP="008155C9">
            <w:pPr>
              <w:pStyle w:val="ListParagraph"/>
              <w:tabs>
                <w:tab w:val="left" w:pos="567"/>
              </w:tabs>
              <w:ind w:left="0" w:hanging="20"/>
              <w:contextualSpacing w:val="0"/>
              <w:rPr>
                <w:rFonts w:asciiTheme="minorHAnsi" w:hAnsiTheme="minorHAnsi" w:cstheme="minorHAnsi"/>
                <w:sz w:val="22"/>
                <w:szCs w:val="22"/>
              </w:rPr>
            </w:pPr>
            <w:r w:rsidRPr="00C91B1C">
              <w:rPr>
                <w:rFonts w:asciiTheme="minorHAnsi" w:hAnsiTheme="minorHAnsi" w:cstheme="minorHAnsi"/>
                <w:b/>
                <w:sz w:val="22"/>
                <w:szCs w:val="22"/>
              </w:rPr>
              <w:t>Overall Objective</w:t>
            </w:r>
          </w:p>
        </w:tc>
      </w:tr>
      <w:tr w:rsidR="008155C9" w:rsidRPr="00C91B1C" w14:paraId="0D210F24" w14:textId="77777777" w:rsidTr="00C91B1C">
        <w:trPr>
          <w:trHeight w:val="908"/>
        </w:trPr>
        <w:tc>
          <w:tcPr>
            <w:tcW w:w="5000" w:type="pct"/>
            <w:gridSpan w:val="3"/>
          </w:tcPr>
          <w:p w14:paraId="24A29B00" w14:textId="2935A340" w:rsidR="008155C9" w:rsidRPr="00387CBF" w:rsidRDefault="008155C9" w:rsidP="008155C9">
            <w:pPr>
              <w:jc w:val="both"/>
              <w:rPr>
                <w:rFonts w:asciiTheme="minorHAnsi" w:hAnsiTheme="minorHAnsi" w:cstheme="minorHAnsi"/>
                <w:sz w:val="22"/>
                <w:szCs w:val="22"/>
                <w:lang w:val="en-US"/>
              </w:rPr>
            </w:pPr>
            <w:r w:rsidRPr="00387CBF">
              <w:rPr>
                <w:rFonts w:asciiTheme="minorHAnsi" w:hAnsiTheme="minorHAnsi" w:cstheme="minorHAnsi"/>
                <w:sz w:val="22"/>
                <w:szCs w:val="22"/>
                <w:lang w:val="en-US"/>
              </w:rPr>
              <w:t xml:space="preserve">By the end of the project, adolescent girls in 32 unions in the districts of </w:t>
            </w:r>
            <w:proofErr w:type="spellStart"/>
            <w:r w:rsidR="00270178">
              <w:rPr>
                <w:rFonts w:asciiTheme="minorHAnsi" w:hAnsiTheme="minorHAnsi" w:cstheme="minorHAnsi"/>
                <w:sz w:val="22"/>
                <w:szCs w:val="22"/>
                <w:lang w:val="en-US"/>
              </w:rPr>
              <w:t>Barishal</w:t>
            </w:r>
            <w:proofErr w:type="spellEnd"/>
            <w:r w:rsidRPr="00387CBF">
              <w:rPr>
                <w:rFonts w:asciiTheme="minorHAnsi" w:hAnsiTheme="minorHAnsi" w:cstheme="minorHAnsi"/>
                <w:sz w:val="22"/>
                <w:szCs w:val="22"/>
                <w:lang w:val="en-US"/>
              </w:rPr>
              <w:t>, Jhal</w:t>
            </w:r>
            <w:r w:rsidR="00387CBF" w:rsidRPr="00387CBF">
              <w:rPr>
                <w:rFonts w:asciiTheme="minorHAnsi" w:hAnsiTheme="minorHAnsi" w:cstheme="minorHAnsi"/>
                <w:sz w:val="22"/>
                <w:szCs w:val="22"/>
                <w:lang w:val="en-US"/>
              </w:rPr>
              <w:t>o</w:t>
            </w:r>
            <w:r w:rsidRPr="00387CBF">
              <w:rPr>
                <w:rFonts w:asciiTheme="minorHAnsi" w:hAnsiTheme="minorHAnsi" w:cstheme="minorHAnsi"/>
                <w:sz w:val="22"/>
                <w:szCs w:val="22"/>
                <w:lang w:val="en-US"/>
              </w:rPr>
              <w:t>kathi and Tangail benefit from a significantly strengthened social and institutional protection environment that improves their school retention, self-determination and protection from child marriage.</w:t>
            </w:r>
          </w:p>
        </w:tc>
      </w:tr>
      <w:tr w:rsidR="008155C9" w:rsidRPr="00C91B1C" w14:paraId="51B08A40" w14:textId="77777777" w:rsidTr="00C91B1C">
        <w:tc>
          <w:tcPr>
            <w:tcW w:w="1649" w:type="pct"/>
            <w:vMerge w:val="restart"/>
          </w:tcPr>
          <w:p w14:paraId="484E9E23" w14:textId="77777777" w:rsidR="008155C9" w:rsidRPr="00C91B1C" w:rsidRDefault="008155C9" w:rsidP="008155C9">
            <w:pPr>
              <w:pStyle w:val="ListParagraph"/>
              <w:tabs>
                <w:tab w:val="left" w:pos="567"/>
              </w:tabs>
              <w:ind w:left="0"/>
              <w:contextualSpacing w:val="0"/>
              <w:jc w:val="both"/>
              <w:rPr>
                <w:rFonts w:asciiTheme="minorHAnsi" w:hAnsiTheme="minorHAnsi" w:cstheme="minorHAnsi"/>
                <w:sz w:val="22"/>
                <w:szCs w:val="22"/>
              </w:rPr>
            </w:pPr>
            <w:r w:rsidRPr="00C91B1C">
              <w:rPr>
                <w:rFonts w:asciiTheme="minorHAnsi" w:hAnsiTheme="minorHAnsi" w:cstheme="minorHAnsi"/>
                <w:b/>
                <w:sz w:val="22"/>
                <w:szCs w:val="22"/>
              </w:rPr>
              <w:t>Project Objective</w:t>
            </w:r>
          </w:p>
        </w:tc>
        <w:tc>
          <w:tcPr>
            <w:tcW w:w="3351" w:type="pct"/>
            <w:gridSpan w:val="2"/>
          </w:tcPr>
          <w:p w14:paraId="0B157830" w14:textId="77777777" w:rsidR="008155C9" w:rsidRPr="00C91B1C" w:rsidRDefault="008155C9" w:rsidP="008155C9">
            <w:pPr>
              <w:pStyle w:val="ListParagraph"/>
              <w:tabs>
                <w:tab w:val="left" w:pos="567"/>
              </w:tabs>
              <w:ind w:left="0"/>
              <w:contextualSpacing w:val="0"/>
              <w:jc w:val="both"/>
              <w:rPr>
                <w:rFonts w:asciiTheme="minorHAnsi" w:hAnsiTheme="minorHAnsi" w:cstheme="minorHAnsi"/>
                <w:sz w:val="22"/>
                <w:szCs w:val="22"/>
              </w:rPr>
            </w:pPr>
            <w:r w:rsidRPr="00C91B1C">
              <w:rPr>
                <w:rFonts w:asciiTheme="minorHAnsi" w:hAnsiTheme="minorHAnsi" w:cstheme="minorHAnsi"/>
                <w:b/>
                <w:sz w:val="22"/>
                <w:szCs w:val="22"/>
              </w:rPr>
              <w:t>Indicators</w:t>
            </w:r>
          </w:p>
        </w:tc>
      </w:tr>
      <w:tr w:rsidR="008155C9" w:rsidRPr="00C91B1C" w14:paraId="00D946DF" w14:textId="77777777" w:rsidTr="00C91B1C">
        <w:tc>
          <w:tcPr>
            <w:tcW w:w="1649" w:type="pct"/>
            <w:vMerge/>
          </w:tcPr>
          <w:p w14:paraId="7CB497A8" w14:textId="77777777" w:rsidR="008155C9" w:rsidRPr="00C91B1C" w:rsidRDefault="008155C9" w:rsidP="008155C9">
            <w:pPr>
              <w:pStyle w:val="ListParagraph"/>
              <w:tabs>
                <w:tab w:val="left" w:pos="567"/>
              </w:tabs>
              <w:ind w:left="0" w:hanging="360"/>
              <w:contextualSpacing w:val="0"/>
              <w:jc w:val="both"/>
              <w:rPr>
                <w:rFonts w:asciiTheme="minorHAnsi" w:hAnsiTheme="minorHAnsi" w:cstheme="minorHAnsi"/>
                <w:sz w:val="22"/>
                <w:szCs w:val="22"/>
              </w:rPr>
            </w:pPr>
          </w:p>
        </w:tc>
        <w:tc>
          <w:tcPr>
            <w:tcW w:w="1508" w:type="pct"/>
          </w:tcPr>
          <w:p w14:paraId="372B0324" w14:textId="77777777" w:rsidR="008155C9" w:rsidRPr="00C91B1C" w:rsidRDefault="008155C9" w:rsidP="008155C9">
            <w:pPr>
              <w:rPr>
                <w:rFonts w:asciiTheme="minorHAnsi" w:hAnsiTheme="minorHAnsi" w:cstheme="minorHAnsi"/>
                <w:sz w:val="22"/>
                <w:szCs w:val="22"/>
                <w:lang w:val="fr-FR"/>
              </w:rPr>
            </w:pPr>
            <w:proofErr w:type="gramStart"/>
            <w:r w:rsidRPr="00C91B1C">
              <w:rPr>
                <w:rFonts w:asciiTheme="minorHAnsi" w:hAnsiTheme="minorHAnsi" w:cstheme="minorHAnsi"/>
                <w:sz w:val="22"/>
                <w:szCs w:val="22"/>
                <w:lang w:val="fr-FR"/>
              </w:rPr>
              <w:t>Baseline:</w:t>
            </w:r>
            <w:proofErr w:type="gramEnd"/>
            <w:r w:rsidRPr="00C91B1C">
              <w:rPr>
                <w:rFonts w:asciiTheme="minorHAnsi" w:hAnsiTheme="minorHAnsi" w:cstheme="minorHAnsi"/>
                <w:sz w:val="22"/>
                <w:szCs w:val="22"/>
                <w:lang w:val="fr-FR"/>
              </w:rPr>
              <w:t xml:space="preserve"> Current Situation</w:t>
            </w:r>
          </w:p>
          <w:p w14:paraId="08244057" w14:textId="77777777" w:rsidR="008155C9" w:rsidRPr="00C91B1C" w:rsidRDefault="008155C9" w:rsidP="008155C9">
            <w:pPr>
              <w:pStyle w:val="ListParagraph"/>
              <w:tabs>
                <w:tab w:val="left" w:pos="567"/>
              </w:tabs>
              <w:ind w:left="0"/>
              <w:contextualSpacing w:val="0"/>
              <w:jc w:val="both"/>
              <w:rPr>
                <w:rFonts w:asciiTheme="minorHAnsi" w:hAnsiTheme="minorHAnsi" w:cstheme="minorHAnsi"/>
                <w:sz w:val="22"/>
                <w:szCs w:val="22"/>
                <w:lang w:val="fr-FR"/>
              </w:rPr>
            </w:pPr>
            <w:r w:rsidRPr="00C91B1C">
              <w:rPr>
                <w:rFonts w:asciiTheme="minorHAnsi" w:hAnsiTheme="minorHAnsi" w:cstheme="minorHAnsi"/>
                <w:sz w:val="22"/>
                <w:szCs w:val="22"/>
                <w:lang w:val="fr-FR"/>
              </w:rPr>
              <w:t>(</w:t>
            </w:r>
            <w:proofErr w:type="gramStart"/>
            <w:r w:rsidRPr="00C91B1C">
              <w:rPr>
                <w:rFonts w:asciiTheme="minorHAnsi" w:hAnsiTheme="minorHAnsi" w:cstheme="minorHAnsi"/>
                <w:sz w:val="22"/>
                <w:szCs w:val="22"/>
                <w:lang w:val="fr-FR"/>
              </w:rPr>
              <w:t>quantitative</w:t>
            </w:r>
            <w:proofErr w:type="gramEnd"/>
            <w:r w:rsidRPr="00C91B1C">
              <w:rPr>
                <w:rFonts w:asciiTheme="minorHAnsi" w:hAnsiTheme="minorHAnsi" w:cstheme="minorHAnsi"/>
                <w:sz w:val="22"/>
                <w:szCs w:val="22"/>
                <w:lang w:val="fr-FR"/>
              </w:rPr>
              <w:t xml:space="preserve"> and qualitative)</w:t>
            </w:r>
          </w:p>
        </w:tc>
        <w:tc>
          <w:tcPr>
            <w:tcW w:w="1842" w:type="pct"/>
          </w:tcPr>
          <w:p w14:paraId="71C50F49" w14:textId="77777777" w:rsidR="008155C9" w:rsidRPr="009D7E1A" w:rsidRDefault="008155C9" w:rsidP="008155C9">
            <w:pPr>
              <w:rPr>
                <w:rFonts w:asciiTheme="minorHAnsi" w:hAnsiTheme="minorHAnsi" w:cstheme="minorHAnsi"/>
                <w:sz w:val="22"/>
                <w:szCs w:val="22"/>
                <w:lang w:val="en-US"/>
              </w:rPr>
            </w:pPr>
            <w:r w:rsidRPr="009D7E1A">
              <w:rPr>
                <w:rFonts w:asciiTheme="minorHAnsi" w:hAnsiTheme="minorHAnsi" w:cstheme="minorHAnsi"/>
                <w:sz w:val="22"/>
                <w:szCs w:val="22"/>
                <w:lang w:val="en-US"/>
              </w:rPr>
              <w:t>Target Value: Expected Outcome</w:t>
            </w:r>
          </w:p>
          <w:p w14:paraId="2FE860E0" w14:textId="77777777" w:rsidR="008155C9" w:rsidRPr="009D7E1A" w:rsidRDefault="008155C9" w:rsidP="008155C9">
            <w:pPr>
              <w:pStyle w:val="ListParagraph"/>
              <w:tabs>
                <w:tab w:val="left" w:pos="567"/>
              </w:tabs>
              <w:ind w:left="0"/>
              <w:contextualSpacing w:val="0"/>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(quantitative and qualitative)</w:t>
            </w:r>
          </w:p>
        </w:tc>
      </w:tr>
      <w:tr w:rsidR="008155C9" w:rsidRPr="00C91B1C" w14:paraId="6AA64858" w14:textId="77777777" w:rsidTr="00C91B1C">
        <w:trPr>
          <w:trHeight w:val="1907"/>
        </w:trPr>
        <w:tc>
          <w:tcPr>
            <w:tcW w:w="1649" w:type="pct"/>
            <w:vMerge w:val="restart"/>
          </w:tcPr>
          <w:p w14:paraId="2A809628" w14:textId="77777777" w:rsidR="008155C9" w:rsidRPr="009D7E1A" w:rsidRDefault="008155C9" w:rsidP="008155C9">
            <w:pPr>
              <w:ind w:right="340"/>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Adolescent girls and boys, as well as key actors in the 32 target unions, use the school-based, community-based and institutional protection and support structures strengthened through the project to identify impending child marriage at an early stage, initiate countermeasures and help ensure that girls at risk remain in school.</w:t>
            </w:r>
          </w:p>
        </w:tc>
        <w:tc>
          <w:tcPr>
            <w:tcW w:w="1508" w:type="pct"/>
          </w:tcPr>
          <w:p w14:paraId="220D3867" w14:textId="77777777" w:rsidR="008155C9" w:rsidRPr="009D7E1A" w:rsidRDefault="008155C9" w:rsidP="008155C9">
            <w:pPr>
              <w:jc w:val="both"/>
              <w:rPr>
                <w:rFonts w:asciiTheme="minorHAnsi" w:hAnsiTheme="minorHAnsi" w:cstheme="minorHAnsi"/>
                <w:sz w:val="22"/>
                <w:szCs w:val="22"/>
                <w:lang w:val="en-US" w:eastAsia="zh-CN"/>
              </w:rPr>
            </w:pPr>
            <w:r w:rsidRPr="009D7E1A">
              <w:rPr>
                <w:rFonts w:asciiTheme="minorHAnsi" w:hAnsiTheme="minorHAnsi" w:cstheme="minorHAnsi"/>
                <w:sz w:val="22"/>
                <w:szCs w:val="22"/>
                <w:lang w:val="en-US" w:eastAsia="zh-CN"/>
              </w:rPr>
              <w:t>13% of surveyed unmarried girls state that they are able to participate in decisions regarding their marriage. This is an approximate value for the start of Phase 2 and will be verified during the baseline for the 32 target unions.</w:t>
            </w:r>
          </w:p>
        </w:tc>
        <w:tc>
          <w:tcPr>
            <w:tcW w:w="1842" w:type="pct"/>
          </w:tcPr>
          <w:p w14:paraId="70398B6A" w14:textId="77777777" w:rsidR="008155C9" w:rsidRPr="009D7E1A" w:rsidRDefault="008155C9" w:rsidP="008155C9">
            <w:pPr>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By the end of the project, at least 60% of surveyed unmarried girls state that they object to marriage before the legal minimum age and are able to decide for themselves whether, when and whom they marry.</w:t>
            </w:r>
          </w:p>
        </w:tc>
      </w:tr>
      <w:tr w:rsidR="008155C9" w:rsidRPr="00C91B1C" w14:paraId="4680002F" w14:textId="77777777" w:rsidTr="00C91B1C">
        <w:tc>
          <w:tcPr>
            <w:tcW w:w="1649" w:type="pct"/>
            <w:vMerge/>
          </w:tcPr>
          <w:p w14:paraId="083250AF" w14:textId="77777777" w:rsidR="008155C9" w:rsidRPr="009D7E1A" w:rsidRDefault="008155C9" w:rsidP="008155C9">
            <w:pPr>
              <w:ind w:right="340"/>
              <w:rPr>
                <w:rFonts w:asciiTheme="minorHAnsi" w:hAnsiTheme="minorHAnsi" w:cstheme="minorHAnsi"/>
                <w:sz w:val="22"/>
                <w:szCs w:val="22"/>
                <w:lang w:val="en-US"/>
              </w:rPr>
            </w:pPr>
          </w:p>
        </w:tc>
        <w:tc>
          <w:tcPr>
            <w:tcW w:w="1508" w:type="pct"/>
          </w:tcPr>
          <w:p w14:paraId="0D4DEE98" w14:textId="77777777" w:rsidR="008155C9" w:rsidRPr="00C91B1C" w:rsidRDefault="008155C9" w:rsidP="008155C9">
            <w:pPr>
              <w:jc w:val="both"/>
              <w:rPr>
                <w:rFonts w:asciiTheme="minorHAnsi" w:hAnsiTheme="minorHAnsi" w:cstheme="minorHAnsi"/>
                <w:sz w:val="22"/>
                <w:szCs w:val="22"/>
              </w:rPr>
            </w:pPr>
            <w:r w:rsidRPr="009D7E1A">
              <w:rPr>
                <w:rFonts w:asciiTheme="minorHAnsi" w:hAnsiTheme="minorHAnsi" w:cstheme="minorHAnsi"/>
                <w:sz w:val="22"/>
                <w:szCs w:val="22"/>
                <w:lang w:val="en-US"/>
              </w:rPr>
              <w:t xml:space="preserve">Percentage of adolescents who state that they themselves or their peers have tried to prevent a child marriage in the last 12 months, for example by approaching parents, teachers or local authorities. </w:t>
            </w:r>
            <w:r w:rsidRPr="00C91B1C">
              <w:rPr>
                <w:rFonts w:asciiTheme="minorHAnsi" w:hAnsiTheme="minorHAnsi" w:cstheme="minorHAnsi"/>
                <w:sz w:val="22"/>
                <w:szCs w:val="22"/>
              </w:rPr>
              <w:t>The value will be established during the baseline.</w:t>
            </w:r>
          </w:p>
        </w:tc>
        <w:tc>
          <w:tcPr>
            <w:tcW w:w="1842" w:type="pct"/>
          </w:tcPr>
          <w:p w14:paraId="01C6E65C" w14:textId="77777777" w:rsidR="008155C9" w:rsidRPr="009D7E1A" w:rsidRDefault="008155C9" w:rsidP="008155C9">
            <w:pPr>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By the end of the project, at least 70% of surveyed adolescents state that they themselves or their peers have initiated concrete prevention measures against an impending child marriage in the last 12 months, for example by involving teachers, Women Leaders, local administration, the police or a hotline. Of these adolescents, at least 35% state that their actions contributed to a positive outcome, such as the prevention or delay of a child marriage, increased support for continued school attendance or improved access to protection or SRHR services.</w:t>
            </w:r>
          </w:p>
        </w:tc>
      </w:tr>
      <w:tr w:rsidR="008155C9" w:rsidRPr="00C91B1C" w14:paraId="1D986D24" w14:textId="77777777" w:rsidTr="00C91B1C">
        <w:trPr>
          <w:trHeight w:val="1320"/>
        </w:trPr>
        <w:tc>
          <w:tcPr>
            <w:tcW w:w="1649" w:type="pct"/>
            <w:vMerge/>
          </w:tcPr>
          <w:p w14:paraId="3793DDB9" w14:textId="77777777" w:rsidR="008155C9" w:rsidRPr="009D7E1A" w:rsidRDefault="008155C9" w:rsidP="008155C9">
            <w:pPr>
              <w:ind w:right="340"/>
              <w:rPr>
                <w:rFonts w:asciiTheme="minorHAnsi" w:hAnsiTheme="minorHAnsi" w:cstheme="minorHAnsi"/>
                <w:sz w:val="22"/>
                <w:szCs w:val="22"/>
                <w:lang w:val="en-US"/>
              </w:rPr>
            </w:pPr>
          </w:p>
        </w:tc>
        <w:tc>
          <w:tcPr>
            <w:tcW w:w="1508" w:type="pct"/>
          </w:tcPr>
          <w:p w14:paraId="3EADDA19" w14:textId="77777777" w:rsidR="008155C9" w:rsidRPr="009D7E1A" w:rsidRDefault="008155C9" w:rsidP="008155C9">
            <w:pPr>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Percentage of reached stakeholders, including teachers, religious leaders, UCMPC members, VDT leaders, Women Leaders and local government representatives, who are already sensitized and actively engage as change agents in preventing child marriage through documented community-based measures. The exact baseline value will be established during the baseline.</w:t>
            </w:r>
          </w:p>
        </w:tc>
        <w:tc>
          <w:tcPr>
            <w:tcW w:w="1842" w:type="pct"/>
          </w:tcPr>
          <w:p w14:paraId="2E94CD65" w14:textId="77777777" w:rsidR="008155C9" w:rsidRPr="009D7E1A" w:rsidRDefault="008155C9" w:rsidP="008155C9">
            <w:pPr>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By the end of the project, at least 60% of reached stakeholders, including teachers, religious leaders, VDT leaders, Women Leaders and local government representatives, are sensitized and actively engage as change agents through documented prevention, referral or support measures related to child marriage cases in the project communities.</w:t>
            </w:r>
          </w:p>
        </w:tc>
      </w:tr>
      <w:tr w:rsidR="008155C9" w:rsidRPr="00C91B1C" w14:paraId="6FBAA145" w14:textId="77777777" w:rsidTr="00C91B1C">
        <w:trPr>
          <w:trHeight w:val="1320"/>
        </w:trPr>
        <w:tc>
          <w:tcPr>
            <w:tcW w:w="1649" w:type="pct"/>
            <w:vMerge/>
          </w:tcPr>
          <w:p w14:paraId="7B9FC28F" w14:textId="77777777" w:rsidR="008155C9" w:rsidRPr="009D7E1A" w:rsidRDefault="008155C9" w:rsidP="008155C9">
            <w:pPr>
              <w:ind w:right="340"/>
              <w:rPr>
                <w:rFonts w:asciiTheme="minorHAnsi" w:hAnsiTheme="minorHAnsi" w:cstheme="minorHAnsi"/>
                <w:sz w:val="22"/>
                <w:szCs w:val="22"/>
                <w:lang w:val="en-US"/>
              </w:rPr>
            </w:pPr>
          </w:p>
        </w:tc>
        <w:tc>
          <w:tcPr>
            <w:tcW w:w="1508" w:type="pct"/>
          </w:tcPr>
          <w:p w14:paraId="3AF7E8E7" w14:textId="77777777" w:rsidR="008155C9" w:rsidRPr="009D7E1A" w:rsidRDefault="008155C9" w:rsidP="008155C9">
            <w:pPr>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Percentage of girls and young women aged 18–24 in the target unions who report having been married before reaching the age of 18. This value will be established during the baseline and will serve as a reference value for measuring changes in the child marriage rate over the course of the project.</w:t>
            </w:r>
          </w:p>
        </w:tc>
        <w:tc>
          <w:tcPr>
            <w:tcW w:w="1842" w:type="pct"/>
          </w:tcPr>
          <w:p w14:paraId="53AEB09F" w14:textId="77777777" w:rsidR="008155C9" w:rsidRPr="009D7E1A" w:rsidRDefault="008155C9" w:rsidP="008155C9">
            <w:pPr>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By the end of the project, the percentage of girls and young women aged 18–24 in the target unions who report having been married before reaching the age of 18 has decreased by at least 10 percentage points compared to the baseline value.</w:t>
            </w:r>
          </w:p>
        </w:tc>
      </w:tr>
      <w:tr w:rsidR="008155C9" w:rsidRPr="00C91B1C" w14:paraId="0F7ED96B" w14:textId="77777777" w:rsidTr="00C91B1C">
        <w:tc>
          <w:tcPr>
            <w:tcW w:w="1649" w:type="pct"/>
            <w:vMerge w:val="restart"/>
          </w:tcPr>
          <w:p w14:paraId="65C9C847" w14:textId="77777777" w:rsidR="008155C9" w:rsidRPr="00C91B1C" w:rsidRDefault="008155C9" w:rsidP="008155C9">
            <w:pPr>
              <w:pStyle w:val="ListParagraph"/>
              <w:tabs>
                <w:tab w:val="left" w:pos="567"/>
              </w:tabs>
              <w:ind w:left="0"/>
              <w:contextualSpacing w:val="0"/>
              <w:jc w:val="both"/>
              <w:rPr>
                <w:rFonts w:asciiTheme="minorHAnsi" w:hAnsiTheme="minorHAnsi" w:cstheme="minorHAnsi"/>
                <w:sz w:val="22"/>
                <w:szCs w:val="22"/>
              </w:rPr>
            </w:pPr>
            <w:r w:rsidRPr="00C91B1C">
              <w:rPr>
                <w:rFonts w:asciiTheme="minorHAnsi" w:hAnsiTheme="minorHAnsi" w:cstheme="minorHAnsi"/>
                <w:b/>
                <w:sz w:val="22"/>
                <w:szCs w:val="22"/>
              </w:rPr>
              <w:t>Sub-Objectives</w:t>
            </w:r>
          </w:p>
        </w:tc>
        <w:tc>
          <w:tcPr>
            <w:tcW w:w="3351" w:type="pct"/>
            <w:gridSpan w:val="2"/>
          </w:tcPr>
          <w:p w14:paraId="09154182" w14:textId="77777777" w:rsidR="008155C9" w:rsidRPr="00C91B1C" w:rsidRDefault="008155C9" w:rsidP="008155C9">
            <w:pPr>
              <w:pStyle w:val="ListParagraph"/>
              <w:tabs>
                <w:tab w:val="left" w:pos="567"/>
              </w:tabs>
              <w:ind w:left="0"/>
              <w:contextualSpacing w:val="0"/>
              <w:jc w:val="both"/>
              <w:rPr>
                <w:rFonts w:asciiTheme="minorHAnsi" w:hAnsiTheme="minorHAnsi" w:cstheme="minorHAnsi"/>
                <w:sz w:val="22"/>
                <w:szCs w:val="22"/>
              </w:rPr>
            </w:pPr>
            <w:r w:rsidRPr="00C91B1C">
              <w:rPr>
                <w:rFonts w:asciiTheme="minorHAnsi" w:hAnsiTheme="minorHAnsi" w:cstheme="minorHAnsi"/>
                <w:b/>
                <w:sz w:val="22"/>
                <w:szCs w:val="22"/>
              </w:rPr>
              <w:t>Indicators</w:t>
            </w:r>
          </w:p>
        </w:tc>
      </w:tr>
      <w:tr w:rsidR="008155C9" w:rsidRPr="00C91B1C" w14:paraId="6356F2FA" w14:textId="77777777" w:rsidTr="00C91B1C">
        <w:trPr>
          <w:trHeight w:val="548"/>
        </w:trPr>
        <w:tc>
          <w:tcPr>
            <w:tcW w:w="1649" w:type="pct"/>
            <w:vMerge/>
          </w:tcPr>
          <w:p w14:paraId="10679266" w14:textId="77777777" w:rsidR="008155C9" w:rsidRPr="00C91B1C" w:rsidRDefault="008155C9" w:rsidP="008155C9">
            <w:pPr>
              <w:pStyle w:val="ListParagraph"/>
              <w:tabs>
                <w:tab w:val="left" w:pos="567"/>
              </w:tabs>
              <w:ind w:left="0" w:hanging="360"/>
              <w:contextualSpacing w:val="0"/>
              <w:jc w:val="both"/>
              <w:rPr>
                <w:rFonts w:asciiTheme="minorHAnsi" w:hAnsiTheme="minorHAnsi" w:cstheme="minorHAnsi"/>
                <w:sz w:val="22"/>
                <w:szCs w:val="22"/>
              </w:rPr>
            </w:pPr>
          </w:p>
        </w:tc>
        <w:tc>
          <w:tcPr>
            <w:tcW w:w="1508" w:type="pct"/>
          </w:tcPr>
          <w:p w14:paraId="70681331" w14:textId="77777777" w:rsidR="008155C9" w:rsidRPr="00C91B1C" w:rsidRDefault="008155C9" w:rsidP="008155C9">
            <w:pPr>
              <w:ind w:left="-180" w:firstLine="180"/>
              <w:rPr>
                <w:rFonts w:asciiTheme="minorHAnsi" w:hAnsiTheme="minorHAnsi" w:cstheme="minorHAnsi"/>
                <w:sz w:val="22"/>
                <w:szCs w:val="22"/>
                <w:lang w:val="fr-FR"/>
              </w:rPr>
            </w:pPr>
            <w:proofErr w:type="gramStart"/>
            <w:r w:rsidRPr="00C91B1C">
              <w:rPr>
                <w:rFonts w:asciiTheme="minorHAnsi" w:hAnsiTheme="minorHAnsi" w:cstheme="minorHAnsi"/>
                <w:sz w:val="22"/>
                <w:szCs w:val="22"/>
                <w:lang w:val="fr-FR"/>
              </w:rPr>
              <w:t>Baseline:</w:t>
            </w:r>
            <w:proofErr w:type="gramEnd"/>
            <w:r w:rsidRPr="00C91B1C">
              <w:rPr>
                <w:rFonts w:asciiTheme="minorHAnsi" w:hAnsiTheme="minorHAnsi" w:cstheme="minorHAnsi"/>
                <w:sz w:val="22"/>
                <w:szCs w:val="22"/>
                <w:lang w:val="fr-FR"/>
              </w:rPr>
              <w:t xml:space="preserve"> Current Situation</w:t>
            </w:r>
          </w:p>
          <w:p w14:paraId="63B52B38" w14:textId="77777777" w:rsidR="008155C9" w:rsidRPr="00C91B1C" w:rsidRDefault="008155C9" w:rsidP="008155C9">
            <w:pPr>
              <w:pStyle w:val="ListParagraph"/>
              <w:tabs>
                <w:tab w:val="left" w:pos="567"/>
              </w:tabs>
              <w:ind w:left="0"/>
              <w:contextualSpacing w:val="0"/>
              <w:jc w:val="both"/>
              <w:rPr>
                <w:rFonts w:asciiTheme="minorHAnsi" w:hAnsiTheme="minorHAnsi" w:cstheme="minorHAnsi"/>
                <w:sz w:val="22"/>
                <w:szCs w:val="22"/>
                <w:lang w:val="fr-FR"/>
              </w:rPr>
            </w:pPr>
            <w:r w:rsidRPr="00C91B1C">
              <w:rPr>
                <w:rFonts w:asciiTheme="minorHAnsi" w:hAnsiTheme="minorHAnsi" w:cstheme="minorHAnsi"/>
                <w:sz w:val="22"/>
                <w:szCs w:val="22"/>
                <w:lang w:val="fr-FR"/>
              </w:rPr>
              <w:t>(</w:t>
            </w:r>
            <w:proofErr w:type="gramStart"/>
            <w:r w:rsidRPr="00C91B1C">
              <w:rPr>
                <w:rFonts w:asciiTheme="minorHAnsi" w:hAnsiTheme="minorHAnsi" w:cstheme="minorHAnsi"/>
                <w:sz w:val="22"/>
                <w:szCs w:val="22"/>
                <w:lang w:val="fr-FR"/>
              </w:rPr>
              <w:t>quantitative</w:t>
            </w:r>
            <w:proofErr w:type="gramEnd"/>
            <w:r w:rsidRPr="00C91B1C">
              <w:rPr>
                <w:rFonts w:asciiTheme="minorHAnsi" w:hAnsiTheme="minorHAnsi" w:cstheme="minorHAnsi"/>
                <w:sz w:val="22"/>
                <w:szCs w:val="22"/>
                <w:lang w:val="fr-FR"/>
              </w:rPr>
              <w:t xml:space="preserve"> and qualitative)</w:t>
            </w:r>
          </w:p>
        </w:tc>
        <w:tc>
          <w:tcPr>
            <w:tcW w:w="1842" w:type="pct"/>
          </w:tcPr>
          <w:p w14:paraId="3847FD41" w14:textId="77777777" w:rsidR="008155C9" w:rsidRPr="009D7E1A" w:rsidRDefault="008155C9" w:rsidP="008155C9">
            <w:pPr>
              <w:rPr>
                <w:rFonts w:asciiTheme="minorHAnsi" w:hAnsiTheme="minorHAnsi" w:cstheme="minorHAnsi"/>
                <w:sz w:val="22"/>
                <w:szCs w:val="22"/>
                <w:lang w:val="en-US"/>
              </w:rPr>
            </w:pPr>
            <w:r w:rsidRPr="009D7E1A">
              <w:rPr>
                <w:rFonts w:asciiTheme="minorHAnsi" w:hAnsiTheme="minorHAnsi" w:cstheme="minorHAnsi"/>
                <w:sz w:val="22"/>
                <w:szCs w:val="22"/>
                <w:lang w:val="en-US"/>
              </w:rPr>
              <w:t>Target Value: Expected Outcome</w:t>
            </w:r>
          </w:p>
          <w:p w14:paraId="3CCB6E65" w14:textId="77777777" w:rsidR="008155C9" w:rsidRPr="009D7E1A" w:rsidRDefault="008155C9" w:rsidP="008155C9">
            <w:pPr>
              <w:pStyle w:val="ListParagraph"/>
              <w:tabs>
                <w:tab w:val="left" w:pos="567"/>
              </w:tabs>
              <w:ind w:left="-70" w:hanging="70"/>
              <w:contextualSpacing w:val="0"/>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(quantitative and qualitative)</w:t>
            </w:r>
          </w:p>
        </w:tc>
      </w:tr>
      <w:tr w:rsidR="008155C9" w:rsidRPr="00C91B1C" w14:paraId="32AA13F2" w14:textId="77777777" w:rsidTr="00C91B1C">
        <w:trPr>
          <w:trHeight w:val="2051"/>
        </w:trPr>
        <w:tc>
          <w:tcPr>
            <w:tcW w:w="1649" w:type="pct"/>
            <w:vMerge w:val="restart"/>
          </w:tcPr>
          <w:p w14:paraId="19B45C4E" w14:textId="77777777" w:rsidR="008155C9" w:rsidRPr="009D7E1A" w:rsidRDefault="008155C9" w:rsidP="008155C9">
            <w:pPr>
              <w:rPr>
                <w:rFonts w:asciiTheme="minorHAnsi" w:hAnsiTheme="minorHAnsi" w:cstheme="minorHAnsi"/>
                <w:sz w:val="22"/>
                <w:szCs w:val="22"/>
                <w:lang w:val="en-US"/>
              </w:rPr>
            </w:pPr>
            <w:r w:rsidRPr="009D7E1A">
              <w:rPr>
                <w:rFonts w:asciiTheme="minorHAnsi" w:hAnsiTheme="minorHAnsi" w:cstheme="minorHAnsi"/>
                <w:sz w:val="22"/>
                <w:szCs w:val="22"/>
                <w:lang w:val="en-US"/>
              </w:rPr>
              <w:t>1. Adolescents are strengthened and organized: Adolescent girls and boys aged 11–18 in the target unions have strengthened knowledge and practical skills on SRHR, child marriage risks and legal frameworks, and are organized to act safely and effectively as change agents in schools and communities.</w:t>
            </w:r>
          </w:p>
        </w:tc>
        <w:tc>
          <w:tcPr>
            <w:tcW w:w="1508" w:type="pct"/>
          </w:tcPr>
          <w:p w14:paraId="3745DD00" w14:textId="77777777" w:rsidR="008155C9" w:rsidRPr="009D7E1A" w:rsidRDefault="008155C9" w:rsidP="008155C9">
            <w:pPr>
              <w:rPr>
                <w:rFonts w:asciiTheme="minorHAnsi" w:hAnsiTheme="minorHAnsi" w:cstheme="minorHAnsi"/>
                <w:sz w:val="22"/>
                <w:szCs w:val="22"/>
                <w:lang w:val="en-US" w:eastAsia="zh-CN"/>
              </w:rPr>
            </w:pPr>
            <w:r w:rsidRPr="009D7E1A">
              <w:rPr>
                <w:rFonts w:asciiTheme="minorHAnsi" w:hAnsiTheme="minorHAnsi" w:cstheme="minorHAnsi"/>
                <w:sz w:val="22"/>
                <w:szCs w:val="22"/>
                <w:lang w:val="en-US" w:eastAsia="zh-CN"/>
              </w:rPr>
              <w:t>55% of surveyed adolescents know where they can obtain health advice and SRHR-related support.</w:t>
            </w:r>
          </w:p>
        </w:tc>
        <w:tc>
          <w:tcPr>
            <w:tcW w:w="1842" w:type="pct"/>
          </w:tcPr>
          <w:p w14:paraId="0E3C197A" w14:textId="77777777" w:rsidR="008155C9" w:rsidRPr="009D7E1A" w:rsidRDefault="008155C9" w:rsidP="008155C9">
            <w:pPr>
              <w:jc w:val="both"/>
              <w:rPr>
                <w:rFonts w:asciiTheme="minorHAnsi" w:hAnsiTheme="minorHAnsi" w:cstheme="minorHAnsi"/>
                <w:sz w:val="22"/>
                <w:szCs w:val="22"/>
                <w:lang w:val="en-US" w:eastAsia="zh-CN"/>
              </w:rPr>
            </w:pPr>
            <w:r w:rsidRPr="009D7E1A">
              <w:rPr>
                <w:rFonts w:asciiTheme="minorHAnsi" w:hAnsiTheme="minorHAnsi" w:cstheme="minorHAnsi"/>
                <w:sz w:val="22"/>
                <w:szCs w:val="22"/>
                <w:lang w:val="en-US" w:eastAsia="zh-CN"/>
              </w:rPr>
              <w:t>By the end of the project, at least 70% of surveyed adolescents aged 11–18 demonstrate improved knowledge of SRHR, the risks of child marriage and the provisions of the Child Marriage Restraint Act (CMRA), and have applied this knowledge by using a reliable source of information, counselling or support, or by referring at least one peer to such services within the last 12 months.</w:t>
            </w:r>
          </w:p>
        </w:tc>
      </w:tr>
      <w:tr w:rsidR="008155C9" w:rsidRPr="00C91B1C" w14:paraId="1FD16EBF" w14:textId="77777777" w:rsidTr="00C91B1C">
        <w:tc>
          <w:tcPr>
            <w:tcW w:w="1649" w:type="pct"/>
            <w:vMerge/>
          </w:tcPr>
          <w:p w14:paraId="41CBEE5A" w14:textId="77777777" w:rsidR="008155C9" w:rsidRPr="009D7E1A" w:rsidRDefault="008155C9" w:rsidP="008155C9">
            <w:pPr>
              <w:rPr>
                <w:rFonts w:asciiTheme="minorHAnsi" w:hAnsiTheme="minorHAnsi" w:cstheme="minorHAnsi"/>
                <w:sz w:val="22"/>
                <w:szCs w:val="22"/>
                <w:lang w:val="en-US"/>
              </w:rPr>
            </w:pPr>
          </w:p>
        </w:tc>
        <w:tc>
          <w:tcPr>
            <w:tcW w:w="1508" w:type="pct"/>
          </w:tcPr>
          <w:p w14:paraId="4783B874" w14:textId="77777777" w:rsidR="008155C9" w:rsidRPr="009D7E1A" w:rsidRDefault="008155C9" w:rsidP="008155C9">
            <w:pPr>
              <w:jc w:val="both"/>
              <w:rPr>
                <w:rFonts w:asciiTheme="minorHAnsi" w:hAnsiTheme="minorHAnsi" w:cstheme="minorHAnsi"/>
                <w:sz w:val="22"/>
                <w:szCs w:val="22"/>
                <w:lang w:val="en-US" w:eastAsia="zh-CN"/>
              </w:rPr>
            </w:pPr>
            <w:r w:rsidRPr="009D7E1A">
              <w:rPr>
                <w:rFonts w:asciiTheme="minorHAnsi" w:hAnsiTheme="minorHAnsi" w:cstheme="minorHAnsi"/>
                <w:sz w:val="22"/>
                <w:szCs w:val="22"/>
                <w:lang w:val="en-US" w:eastAsia="zh-CN"/>
              </w:rPr>
              <w:t xml:space="preserve">0 out of 128 target schools have School Youth Ending Hunger (YEH) Units established and supported </w:t>
            </w:r>
            <w:r w:rsidRPr="009D7E1A">
              <w:rPr>
                <w:rFonts w:asciiTheme="minorHAnsi" w:hAnsiTheme="minorHAnsi" w:cstheme="minorHAnsi"/>
                <w:sz w:val="22"/>
                <w:szCs w:val="22"/>
                <w:lang w:val="en-US" w:eastAsia="zh-CN"/>
              </w:rPr>
              <w:lastRenderedPageBreak/>
              <w:t>according to a standardized approach.</w:t>
            </w:r>
          </w:p>
        </w:tc>
        <w:tc>
          <w:tcPr>
            <w:tcW w:w="1842" w:type="pct"/>
          </w:tcPr>
          <w:p w14:paraId="2348181A" w14:textId="77777777" w:rsidR="008155C9" w:rsidRPr="009D7E1A" w:rsidRDefault="008155C9" w:rsidP="008155C9">
            <w:pPr>
              <w:jc w:val="both"/>
              <w:rPr>
                <w:rFonts w:asciiTheme="minorHAnsi" w:hAnsiTheme="minorHAnsi" w:cstheme="minorHAnsi"/>
                <w:sz w:val="22"/>
                <w:szCs w:val="22"/>
                <w:lang w:val="en-US" w:eastAsia="zh-CN"/>
              </w:rPr>
            </w:pPr>
            <w:r w:rsidRPr="009D7E1A">
              <w:rPr>
                <w:rFonts w:asciiTheme="minorHAnsi" w:hAnsiTheme="minorHAnsi" w:cstheme="minorHAnsi"/>
                <w:sz w:val="22"/>
                <w:szCs w:val="22"/>
                <w:lang w:val="en-US" w:eastAsia="zh-CN"/>
              </w:rPr>
              <w:lastRenderedPageBreak/>
              <w:t xml:space="preserve">By the end of the project, all 128 target schools have an active School YEH Unit that meets at least quarterly, plans peer activities and has implemented and documented </w:t>
            </w:r>
            <w:r w:rsidRPr="009D7E1A">
              <w:rPr>
                <w:rFonts w:asciiTheme="minorHAnsi" w:hAnsiTheme="minorHAnsi" w:cstheme="minorHAnsi"/>
                <w:sz w:val="22"/>
                <w:szCs w:val="22"/>
                <w:lang w:val="en-US" w:eastAsia="zh-CN"/>
              </w:rPr>
              <w:lastRenderedPageBreak/>
              <w:t>at least one youth-led prevention initiative. Of these initiatives, at least 60% of YEH Units report that their actions contributed to a positive outcome, such as increased support for continued school attendance or improved access to protection or SRHR services.</w:t>
            </w:r>
          </w:p>
        </w:tc>
      </w:tr>
      <w:tr w:rsidR="008155C9" w:rsidRPr="00C91B1C" w14:paraId="5355283B" w14:textId="77777777" w:rsidTr="00C91B1C">
        <w:tc>
          <w:tcPr>
            <w:tcW w:w="1649" w:type="pct"/>
            <w:vMerge w:val="restart"/>
          </w:tcPr>
          <w:p w14:paraId="40924BEF" w14:textId="77777777" w:rsidR="008155C9" w:rsidRPr="009D7E1A" w:rsidRDefault="008155C9" w:rsidP="008155C9">
            <w:pPr>
              <w:rPr>
                <w:rFonts w:asciiTheme="minorHAnsi" w:hAnsiTheme="minorHAnsi" w:cstheme="minorHAnsi"/>
                <w:sz w:val="22"/>
                <w:szCs w:val="22"/>
                <w:lang w:val="en-US"/>
              </w:rPr>
            </w:pPr>
            <w:r w:rsidRPr="009D7E1A">
              <w:rPr>
                <w:rFonts w:asciiTheme="minorHAnsi" w:hAnsiTheme="minorHAnsi" w:cstheme="minorHAnsi"/>
                <w:sz w:val="22"/>
                <w:szCs w:val="22"/>
                <w:lang w:val="en-US"/>
              </w:rPr>
              <w:lastRenderedPageBreak/>
              <w:t>2. Community stakeholders act as effective change agents: Parents and guardians, teachers, religious leaders, Women Leaders, VDT leaders, community volunteers and local CSOs have strengthened knowledge, clear roles and practical capacities to support girls, identify risks at an early stage and respond appropriately to impending child marriage.</w:t>
            </w:r>
          </w:p>
        </w:tc>
        <w:tc>
          <w:tcPr>
            <w:tcW w:w="1508" w:type="pct"/>
          </w:tcPr>
          <w:p w14:paraId="4777F2A8" w14:textId="77777777" w:rsidR="008155C9" w:rsidRPr="009D7E1A" w:rsidRDefault="008155C9" w:rsidP="008155C9">
            <w:pPr>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29% of surveyed persons report actual intervention attempts against child marriage. The exact baseline value will be established during the baseline.</w:t>
            </w:r>
          </w:p>
        </w:tc>
        <w:tc>
          <w:tcPr>
            <w:tcW w:w="1842" w:type="pct"/>
          </w:tcPr>
          <w:p w14:paraId="5FA4E0E9" w14:textId="77777777" w:rsidR="008155C9" w:rsidRPr="009D7E1A" w:rsidRDefault="008155C9" w:rsidP="008155C9">
            <w:pPr>
              <w:jc w:val="both"/>
              <w:rPr>
                <w:rFonts w:asciiTheme="minorHAnsi" w:hAnsiTheme="minorHAnsi" w:cstheme="minorHAnsi"/>
                <w:sz w:val="22"/>
                <w:szCs w:val="22"/>
                <w:lang w:val="en-US" w:eastAsia="zh-CN"/>
              </w:rPr>
            </w:pPr>
            <w:r w:rsidRPr="009D7E1A">
              <w:rPr>
                <w:rFonts w:asciiTheme="minorHAnsi" w:hAnsiTheme="minorHAnsi" w:cstheme="minorHAnsi"/>
                <w:sz w:val="22"/>
                <w:szCs w:val="22"/>
                <w:lang w:val="en-US" w:eastAsia="zh-CN"/>
              </w:rPr>
              <w:t>By the end of the project, at least 70% of surveyed community stakeholders, including teachers, religious leaders, Women Leaders, VDT leaders, community volunteers and local civil society organizations, demonstrate improved knowledge of child marriage risks, protection measures and the provisions of the Child Marriage Restraint Act (CMRA). At least 50% of them have actively applied this knowledge by identifying at least one case involving a risk of child marriage and responding through a documented protection, referral or support measure.</w:t>
            </w:r>
          </w:p>
        </w:tc>
      </w:tr>
      <w:tr w:rsidR="008155C9" w:rsidRPr="00C91B1C" w14:paraId="236F0C62" w14:textId="77777777" w:rsidTr="00C91B1C">
        <w:tc>
          <w:tcPr>
            <w:tcW w:w="1649" w:type="pct"/>
            <w:vMerge/>
          </w:tcPr>
          <w:p w14:paraId="04F53442" w14:textId="77777777" w:rsidR="008155C9" w:rsidRPr="009D7E1A" w:rsidRDefault="008155C9" w:rsidP="008155C9">
            <w:pPr>
              <w:rPr>
                <w:rFonts w:asciiTheme="minorHAnsi" w:hAnsiTheme="minorHAnsi" w:cstheme="minorHAnsi"/>
                <w:sz w:val="22"/>
                <w:szCs w:val="22"/>
                <w:lang w:val="en-US"/>
              </w:rPr>
            </w:pPr>
          </w:p>
        </w:tc>
        <w:tc>
          <w:tcPr>
            <w:tcW w:w="1508" w:type="pct"/>
          </w:tcPr>
          <w:p w14:paraId="4DE26CC4" w14:textId="77777777" w:rsidR="008155C9" w:rsidRPr="009D7E1A" w:rsidRDefault="008155C9" w:rsidP="008155C9">
            <w:pPr>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Percentage of surveyed community stakeholders who agree with the statement that girls may be married before reaching the legal minimum age in situations of poverty, insecurity, harassment or social pressure. The exact baseline value for reached community stakeholders in the 32 target unions will be established during the baseline.</w:t>
            </w:r>
          </w:p>
        </w:tc>
        <w:tc>
          <w:tcPr>
            <w:tcW w:w="1842" w:type="pct"/>
          </w:tcPr>
          <w:p w14:paraId="02737C2A" w14:textId="77777777" w:rsidR="008155C9" w:rsidRPr="009D7E1A" w:rsidRDefault="008155C9" w:rsidP="008155C9">
            <w:pPr>
              <w:jc w:val="both"/>
              <w:rPr>
                <w:rFonts w:asciiTheme="minorHAnsi" w:hAnsiTheme="minorHAnsi" w:cstheme="minorHAnsi"/>
                <w:sz w:val="22"/>
                <w:szCs w:val="22"/>
                <w:lang w:val="en-US" w:eastAsia="zh-CN"/>
              </w:rPr>
            </w:pPr>
            <w:r w:rsidRPr="009D7E1A">
              <w:rPr>
                <w:rFonts w:asciiTheme="minorHAnsi" w:hAnsiTheme="minorHAnsi" w:cstheme="minorHAnsi"/>
                <w:sz w:val="22"/>
                <w:szCs w:val="22"/>
                <w:lang w:val="en-US" w:eastAsia="zh-CN"/>
              </w:rPr>
              <w:t>By the end of the project, at least 70% of reached community stakeholders explicitly agree in a standardized survey with the statement that girls should not be married before reaching the legal minimum age, even in situations of poverty, harassment or natural disasters, and that schooling and support must take priority.</w:t>
            </w:r>
          </w:p>
        </w:tc>
      </w:tr>
      <w:tr w:rsidR="008155C9" w:rsidRPr="00C91B1C" w14:paraId="6116F479" w14:textId="77777777" w:rsidTr="00C91B1C">
        <w:tc>
          <w:tcPr>
            <w:tcW w:w="1649" w:type="pct"/>
            <w:vMerge w:val="restart"/>
          </w:tcPr>
          <w:p w14:paraId="763ADD1F" w14:textId="77777777" w:rsidR="008155C9" w:rsidRPr="009D7E1A" w:rsidRDefault="008155C9" w:rsidP="008155C9">
            <w:pPr>
              <w:rPr>
                <w:rFonts w:asciiTheme="minorHAnsi" w:hAnsiTheme="minorHAnsi" w:cstheme="minorHAnsi"/>
                <w:sz w:val="22"/>
                <w:szCs w:val="22"/>
                <w:lang w:val="en-US"/>
              </w:rPr>
            </w:pPr>
            <w:r w:rsidRPr="009D7E1A">
              <w:rPr>
                <w:rFonts w:asciiTheme="minorHAnsi" w:hAnsiTheme="minorHAnsi" w:cstheme="minorHAnsi"/>
                <w:sz w:val="22"/>
                <w:szCs w:val="22"/>
                <w:lang w:val="en-US"/>
              </w:rPr>
              <w:t xml:space="preserve">3. Local prevention and response mechanisms function reliably: Schools, local child marriage prevention committees at union and upazila level, and relevant local authorities have clearer procedures, improved </w:t>
            </w:r>
            <w:r w:rsidRPr="009D7E1A">
              <w:rPr>
                <w:rFonts w:asciiTheme="minorHAnsi" w:hAnsiTheme="minorHAnsi" w:cstheme="minorHAnsi"/>
                <w:sz w:val="22"/>
                <w:szCs w:val="22"/>
                <w:lang w:val="en-US"/>
              </w:rPr>
              <w:lastRenderedPageBreak/>
              <w:t>coordination and documented case management.</w:t>
            </w:r>
          </w:p>
        </w:tc>
        <w:tc>
          <w:tcPr>
            <w:tcW w:w="1508" w:type="pct"/>
          </w:tcPr>
          <w:p w14:paraId="4B41F715" w14:textId="77777777" w:rsidR="008155C9" w:rsidRPr="00C91B1C" w:rsidRDefault="008155C9" w:rsidP="008155C9">
            <w:pPr>
              <w:jc w:val="both"/>
              <w:rPr>
                <w:rFonts w:asciiTheme="minorHAnsi" w:hAnsiTheme="minorHAnsi" w:cstheme="minorHAnsi"/>
                <w:sz w:val="22"/>
                <w:szCs w:val="22"/>
              </w:rPr>
            </w:pPr>
            <w:r w:rsidRPr="009D7E1A">
              <w:rPr>
                <w:rFonts w:asciiTheme="minorHAnsi" w:hAnsiTheme="minorHAnsi" w:cstheme="minorHAnsi"/>
                <w:sz w:val="22"/>
                <w:szCs w:val="22"/>
                <w:lang w:val="en-US"/>
              </w:rPr>
              <w:lastRenderedPageBreak/>
              <w:t xml:space="preserve">Percentage of CMPCs at union and upazila level that are currently functional or actively working. </w:t>
            </w:r>
            <w:r w:rsidRPr="00C91B1C">
              <w:rPr>
                <w:rFonts w:asciiTheme="minorHAnsi" w:hAnsiTheme="minorHAnsi" w:cstheme="minorHAnsi"/>
                <w:sz w:val="22"/>
                <w:szCs w:val="22"/>
              </w:rPr>
              <w:t>The exact value will be established during the baseline.</w:t>
            </w:r>
          </w:p>
        </w:tc>
        <w:tc>
          <w:tcPr>
            <w:tcW w:w="1842" w:type="pct"/>
          </w:tcPr>
          <w:p w14:paraId="3CB0AE2E" w14:textId="77777777" w:rsidR="008155C9" w:rsidRPr="009D7E1A" w:rsidRDefault="008155C9" w:rsidP="008155C9">
            <w:pPr>
              <w:jc w:val="both"/>
              <w:rPr>
                <w:rFonts w:asciiTheme="minorHAnsi" w:hAnsiTheme="minorHAnsi" w:cstheme="minorHAnsi"/>
                <w:sz w:val="22"/>
                <w:szCs w:val="22"/>
                <w:lang w:val="en-US" w:eastAsia="zh-CN"/>
              </w:rPr>
            </w:pPr>
            <w:r w:rsidRPr="009D7E1A">
              <w:rPr>
                <w:rFonts w:asciiTheme="minorHAnsi" w:hAnsiTheme="minorHAnsi" w:cstheme="minorHAnsi"/>
                <w:sz w:val="22"/>
                <w:szCs w:val="22"/>
                <w:lang w:val="en-US" w:eastAsia="zh-CN"/>
              </w:rPr>
              <w:t xml:space="preserve">By the end of the project, at least 40% of the Child Marriage Prevention Committees involved in the project at union and upazila level meet defined minimum functionality criteria. This means that they have a designated composition, have held at least two documented meetings in the last 12 </w:t>
            </w:r>
            <w:r w:rsidRPr="009D7E1A">
              <w:rPr>
                <w:rFonts w:asciiTheme="minorHAnsi" w:hAnsiTheme="minorHAnsi" w:cstheme="minorHAnsi"/>
                <w:sz w:val="22"/>
                <w:szCs w:val="22"/>
                <w:lang w:val="en-US" w:eastAsia="zh-CN"/>
              </w:rPr>
              <w:lastRenderedPageBreak/>
              <w:t>months, record decisions or action points in writing and document at least one agreed follow-up step in reported cases or risk situations.</w:t>
            </w:r>
          </w:p>
        </w:tc>
      </w:tr>
      <w:tr w:rsidR="008155C9" w:rsidRPr="00C91B1C" w14:paraId="29F5D972" w14:textId="77777777" w:rsidTr="00C91B1C">
        <w:tc>
          <w:tcPr>
            <w:tcW w:w="1649" w:type="pct"/>
            <w:vMerge/>
          </w:tcPr>
          <w:p w14:paraId="48ADB706" w14:textId="77777777" w:rsidR="008155C9" w:rsidRPr="009D7E1A" w:rsidRDefault="008155C9" w:rsidP="008155C9">
            <w:pPr>
              <w:rPr>
                <w:rFonts w:asciiTheme="minorHAnsi" w:hAnsiTheme="minorHAnsi" w:cstheme="minorHAnsi"/>
                <w:sz w:val="22"/>
                <w:szCs w:val="22"/>
                <w:lang w:val="en-US"/>
              </w:rPr>
            </w:pPr>
          </w:p>
        </w:tc>
        <w:tc>
          <w:tcPr>
            <w:tcW w:w="1508" w:type="pct"/>
          </w:tcPr>
          <w:p w14:paraId="4B533EB1" w14:textId="77777777" w:rsidR="008155C9" w:rsidRPr="009D7E1A" w:rsidRDefault="008155C9" w:rsidP="008155C9">
            <w:pPr>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Percentage of the 128 target schools that currently implement at least one school-based protection or prevention measure against child marriage, for example identifying girls at risk, involving parents, referring cases or supporting continued school attendance. The exact baseline value will be established during the baseline.</w:t>
            </w:r>
          </w:p>
        </w:tc>
        <w:tc>
          <w:tcPr>
            <w:tcW w:w="1842" w:type="pct"/>
          </w:tcPr>
          <w:p w14:paraId="5398DA27" w14:textId="77777777" w:rsidR="008155C9" w:rsidRPr="009D7E1A" w:rsidRDefault="008155C9" w:rsidP="008155C9">
            <w:pPr>
              <w:jc w:val="both"/>
              <w:rPr>
                <w:rFonts w:asciiTheme="minorHAnsi" w:hAnsiTheme="minorHAnsi" w:cstheme="minorHAnsi"/>
                <w:sz w:val="22"/>
                <w:szCs w:val="22"/>
                <w:lang w:val="en-US" w:eastAsia="zh-CN"/>
              </w:rPr>
            </w:pPr>
            <w:r w:rsidRPr="009D7E1A">
              <w:rPr>
                <w:rFonts w:asciiTheme="minorHAnsi" w:hAnsiTheme="minorHAnsi" w:cstheme="minorHAnsi"/>
                <w:sz w:val="22"/>
                <w:szCs w:val="22"/>
                <w:lang w:val="en-US" w:eastAsia="zh-CN"/>
              </w:rPr>
              <w:t>By the end of the project, at least 70% of the 128 target schools have implemented and documented at least two active school-based prevention or support measures to prevent child marriage during the last 12 months. These include, for example, identifying girls at risk, confidential counselling, involving parents or guardians, referring cases to local protection and support structures, or supporting continued school attendance or re-enrolment.</w:t>
            </w:r>
          </w:p>
        </w:tc>
      </w:tr>
      <w:tr w:rsidR="008155C9" w:rsidRPr="00C91B1C" w14:paraId="5B79A34D" w14:textId="77777777" w:rsidTr="00C91B1C">
        <w:tc>
          <w:tcPr>
            <w:tcW w:w="1649" w:type="pct"/>
            <w:vMerge w:val="restart"/>
          </w:tcPr>
          <w:p w14:paraId="57A3A4A2" w14:textId="77777777" w:rsidR="008155C9" w:rsidRPr="009D7E1A" w:rsidRDefault="008155C9" w:rsidP="008155C9">
            <w:pPr>
              <w:rPr>
                <w:rFonts w:asciiTheme="minorHAnsi" w:hAnsiTheme="minorHAnsi" w:cstheme="minorHAnsi"/>
                <w:sz w:val="22"/>
                <w:szCs w:val="22"/>
                <w:lang w:val="en-US"/>
              </w:rPr>
            </w:pPr>
            <w:r w:rsidRPr="009D7E1A">
              <w:rPr>
                <w:rFonts w:asciiTheme="minorHAnsi" w:hAnsiTheme="minorHAnsi" w:cstheme="minorHAnsi"/>
                <w:sz w:val="22"/>
                <w:szCs w:val="22"/>
                <w:lang w:val="en-US"/>
              </w:rPr>
              <w:t>4. Community-wide knowledge and supportive norms are strengthened: Community members in the 32 target unions have improved knowledge of child marriage, rights and support pathways, and visibly support positive social norms and community-based prevention initiatives.</w:t>
            </w:r>
          </w:p>
        </w:tc>
        <w:tc>
          <w:tcPr>
            <w:tcW w:w="1508" w:type="pct"/>
          </w:tcPr>
          <w:p w14:paraId="3BEFB9DC" w14:textId="77777777" w:rsidR="008155C9" w:rsidRPr="009D7E1A" w:rsidRDefault="008155C9" w:rsidP="008155C9">
            <w:pPr>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30% of surveyed community members explicitly describe child marriage as a harmful and unlawful practice, while many others continue to justify early marriage as a “protective response” to poverty, safety concerns or social pressure. The exact baseline value for reached community members in the 32 target unions will be established during the baseline.</w:t>
            </w:r>
          </w:p>
        </w:tc>
        <w:tc>
          <w:tcPr>
            <w:tcW w:w="1842" w:type="pct"/>
          </w:tcPr>
          <w:p w14:paraId="76BA130C" w14:textId="77777777" w:rsidR="008155C9" w:rsidRPr="009D7E1A" w:rsidRDefault="008155C9" w:rsidP="008155C9">
            <w:pPr>
              <w:jc w:val="both"/>
              <w:rPr>
                <w:rFonts w:asciiTheme="minorHAnsi" w:hAnsiTheme="minorHAnsi" w:cstheme="minorHAnsi"/>
                <w:sz w:val="22"/>
                <w:szCs w:val="22"/>
                <w:lang w:val="en-US" w:eastAsia="zh-CN"/>
              </w:rPr>
            </w:pPr>
            <w:r w:rsidRPr="009D7E1A">
              <w:rPr>
                <w:rFonts w:asciiTheme="minorHAnsi" w:hAnsiTheme="minorHAnsi" w:cstheme="minorHAnsi"/>
                <w:sz w:val="22"/>
                <w:szCs w:val="22"/>
                <w:lang w:val="en-US" w:eastAsia="zh-CN"/>
              </w:rPr>
              <w:t>By the end of the project, at least 50% of surveyed community members explicitly describe child marriage as a harmful and unlawful practice and support girls’ continued school attendance as well as marriage only from the legal minimum age. At least 30% of these community members have actively demonstrated this position by intervening in at least one case involving a risk of child marriage, discouraging a child marriage, supporting a girl’s continued school attendance or referring cases to local protection structures within the last 12 months.</w:t>
            </w:r>
          </w:p>
        </w:tc>
      </w:tr>
      <w:tr w:rsidR="008155C9" w:rsidRPr="008155C9" w14:paraId="6830E897" w14:textId="77777777" w:rsidTr="00C91B1C">
        <w:tc>
          <w:tcPr>
            <w:tcW w:w="1649" w:type="pct"/>
            <w:vMerge/>
          </w:tcPr>
          <w:p w14:paraId="647AA932" w14:textId="77777777" w:rsidR="008155C9" w:rsidRPr="009D7E1A" w:rsidRDefault="008155C9" w:rsidP="008155C9">
            <w:pPr>
              <w:rPr>
                <w:rFonts w:asciiTheme="minorHAnsi" w:hAnsiTheme="minorHAnsi" w:cstheme="minorHAnsi"/>
                <w:sz w:val="22"/>
                <w:szCs w:val="22"/>
                <w:lang w:val="en-US"/>
              </w:rPr>
            </w:pPr>
          </w:p>
        </w:tc>
        <w:tc>
          <w:tcPr>
            <w:tcW w:w="1508" w:type="pct"/>
          </w:tcPr>
          <w:p w14:paraId="50B9D667" w14:textId="77777777" w:rsidR="008155C9" w:rsidRPr="009D7E1A" w:rsidRDefault="008155C9" w:rsidP="008155C9">
            <w:pPr>
              <w:jc w:val="both"/>
              <w:rPr>
                <w:rFonts w:asciiTheme="minorHAnsi" w:hAnsiTheme="minorHAnsi" w:cstheme="minorHAnsi"/>
                <w:sz w:val="22"/>
                <w:szCs w:val="22"/>
                <w:lang w:val="en-US"/>
              </w:rPr>
            </w:pPr>
            <w:r w:rsidRPr="009D7E1A">
              <w:rPr>
                <w:rFonts w:asciiTheme="minorHAnsi" w:hAnsiTheme="minorHAnsi" w:cstheme="minorHAnsi"/>
                <w:sz w:val="22"/>
                <w:szCs w:val="22"/>
                <w:lang w:val="en-US"/>
              </w:rPr>
              <w:t>At project start, there are no systematically planned, documented and annually recurring community-based prevention initiatives in the 32 target unions that are carried out by local actors themselves and explicitly aim to promote child marriage-free communities.</w:t>
            </w:r>
          </w:p>
        </w:tc>
        <w:tc>
          <w:tcPr>
            <w:tcW w:w="1842" w:type="pct"/>
          </w:tcPr>
          <w:p w14:paraId="04631533" w14:textId="77777777" w:rsidR="008155C9" w:rsidRPr="009D7E1A" w:rsidRDefault="008155C9" w:rsidP="008155C9">
            <w:pPr>
              <w:jc w:val="both"/>
              <w:rPr>
                <w:rFonts w:asciiTheme="minorHAnsi" w:hAnsiTheme="minorHAnsi" w:cstheme="minorHAnsi"/>
                <w:sz w:val="22"/>
                <w:szCs w:val="22"/>
                <w:lang w:val="en-US" w:eastAsia="zh-CN"/>
              </w:rPr>
            </w:pPr>
            <w:r w:rsidRPr="009D7E1A">
              <w:rPr>
                <w:rFonts w:asciiTheme="minorHAnsi" w:hAnsiTheme="minorHAnsi" w:cstheme="minorHAnsi"/>
                <w:sz w:val="22"/>
                <w:szCs w:val="22"/>
                <w:lang w:val="en-US" w:eastAsia="zh-CN"/>
              </w:rPr>
              <w:t>By the end of the project, at least two community-led and documented prevention initiatives per year are implemented in each of the 32 target unions, i.e. at least six per union over the entire project duration. These may include, for example, local dialogues, public pledges, parent initiatives, youth actions or community campaigns to promote child marriage-free communities.</w:t>
            </w:r>
          </w:p>
        </w:tc>
      </w:tr>
    </w:tbl>
    <w:p w14:paraId="3757E95C" w14:textId="77777777" w:rsidR="008155C9" w:rsidRPr="008155C9" w:rsidRDefault="008155C9" w:rsidP="008155C9">
      <w:pPr>
        <w:spacing w:after="0" w:line="240" w:lineRule="auto"/>
        <w:jc w:val="both"/>
        <w:rPr>
          <w:rFonts w:eastAsia="Times New Roman" w:cstheme="minorHAnsi"/>
          <w:b/>
          <w:bCs/>
          <w:highlight w:val="white"/>
        </w:rPr>
      </w:pPr>
    </w:p>
    <w:p w14:paraId="183D90D2" w14:textId="77777777" w:rsidR="00AE47E2" w:rsidRDefault="00567DA8" w:rsidP="00AE47E2">
      <w:pPr>
        <w:pStyle w:val="ListParagraph"/>
        <w:numPr>
          <w:ilvl w:val="0"/>
          <w:numId w:val="21"/>
        </w:numPr>
        <w:spacing w:after="0" w:line="240" w:lineRule="auto"/>
        <w:rPr>
          <w:rFonts w:cstheme="minorHAnsi"/>
          <w:b/>
          <w:bCs/>
          <w:sz w:val="22"/>
          <w:szCs w:val="22"/>
        </w:rPr>
      </w:pPr>
      <w:r w:rsidRPr="00C91B1C">
        <w:rPr>
          <w:rFonts w:cstheme="minorHAnsi"/>
          <w:b/>
          <w:bCs/>
          <w:sz w:val="22"/>
          <w:szCs w:val="22"/>
        </w:rPr>
        <w:lastRenderedPageBreak/>
        <w:t>Methodological Guidelines</w:t>
      </w:r>
    </w:p>
    <w:p w14:paraId="1E6D083D" w14:textId="3E5F9C26" w:rsidR="00AE47E2" w:rsidRPr="00AE47E2" w:rsidRDefault="00AE47E2" w:rsidP="00AE47E2">
      <w:pPr>
        <w:spacing w:after="0" w:line="240" w:lineRule="auto"/>
        <w:jc w:val="both"/>
        <w:rPr>
          <w:rFonts w:cstheme="minorHAnsi"/>
        </w:rPr>
      </w:pPr>
      <w:r w:rsidRPr="00EF0B2E">
        <w:rPr>
          <w:rFonts w:cstheme="minorHAnsi"/>
        </w:rPr>
        <w:t>The consultant must propose a statistically</w:t>
      </w:r>
      <w:r w:rsidR="00094266">
        <w:rPr>
          <w:rFonts w:cstheme="minorHAnsi"/>
        </w:rPr>
        <w:t xml:space="preserve"> robust </w:t>
      </w:r>
      <w:r w:rsidRPr="00EF0B2E">
        <w:rPr>
          <w:rFonts w:cstheme="minorHAnsi"/>
        </w:rPr>
        <w:t>sampling strategy that ensures coverage of all 32 unions, 5 upazilas and 128 schools. The sample must include sufficient representation of all direct target groups: adolescent girls (11</w:t>
      </w:r>
      <w:r w:rsidRPr="00AE47E2">
        <w:rPr>
          <w:rFonts w:cstheme="minorHAnsi"/>
        </w:rPr>
        <w:t>-</w:t>
      </w:r>
      <w:r w:rsidRPr="00EF0B2E">
        <w:rPr>
          <w:rFonts w:cstheme="minorHAnsi"/>
        </w:rPr>
        <w:t>18), adolescent boys (13</w:t>
      </w:r>
      <w:r w:rsidRPr="00AE47E2">
        <w:rPr>
          <w:rFonts w:cstheme="minorHAnsi"/>
        </w:rPr>
        <w:t>-</w:t>
      </w:r>
      <w:r w:rsidRPr="00EF0B2E">
        <w:rPr>
          <w:rFonts w:cstheme="minorHAnsi"/>
        </w:rPr>
        <w:t>18), parents/guardians, women leaders, VDT volunteers, teachers</w:t>
      </w:r>
      <w:r w:rsidRPr="00AE47E2">
        <w:rPr>
          <w:rFonts w:cstheme="minorHAnsi"/>
        </w:rPr>
        <w:t xml:space="preserve">, </w:t>
      </w:r>
      <w:r w:rsidRPr="00EF0B2E">
        <w:rPr>
          <w:rFonts w:cstheme="minorHAnsi"/>
        </w:rPr>
        <w:t xml:space="preserve">faith leaders and UCMPC members. All data must be disaggregated by sex, age group, </w:t>
      </w:r>
      <w:r w:rsidR="00094266">
        <w:rPr>
          <w:rFonts w:cstheme="minorHAnsi"/>
        </w:rPr>
        <w:t>D</w:t>
      </w:r>
      <w:r w:rsidRPr="00EF0B2E">
        <w:rPr>
          <w:rFonts w:cstheme="minorHAnsi"/>
        </w:rPr>
        <w:t>istrict/</w:t>
      </w:r>
      <w:r w:rsidR="00094266">
        <w:rPr>
          <w:rFonts w:cstheme="minorHAnsi"/>
        </w:rPr>
        <w:t>U</w:t>
      </w:r>
      <w:r w:rsidRPr="00EF0B2E">
        <w:rPr>
          <w:rFonts w:cstheme="minorHAnsi"/>
        </w:rPr>
        <w:t>pazila/</w:t>
      </w:r>
      <w:r w:rsidR="00094266">
        <w:rPr>
          <w:rFonts w:cstheme="minorHAnsi"/>
        </w:rPr>
        <w:t>U</w:t>
      </w:r>
      <w:r w:rsidRPr="00EF0B2E">
        <w:rPr>
          <w:rFonts w:cstheme="minorHAnsi"/>
        </w:rPr>
        <w:t>nion, school enrolment status and stakeholder type. The consultant must justify the sample size with a power calculation or equivalent statistical rationale.</w:t>
      </w:r>
      <w:r w:rsidRPr="00AE47E2">
        <w:rPr>
          <w:rFonts w:cstheme="minorHAnsi"/>
        </w:rPr>
        <w:t xml:space="preserve"> </w:t>
      </w:r>
    </w:p>
    <w:p w14:paraId="418E9146" w14:textId="77777777" w:rsidR="00AE47E2" w:rsidRPr="00AE47E2" w:rsidRDefault="00AE47E2" w:rsidP="00AE47E2">
      <w:pPr>
        <w:spacing w:after="0" w:line="240" w:lineRule="auto"/>
        <w:jc w:val="both"/>
        <w:rPr>
          <w:rFonts w:cstheme="minorHAnsi"/>
        </w:rPr>
      </w:pPr>
    </w:p>
    <w:p w14:paraId="0CB58AC8" w14:textId="368D7D11" w:rsidR="00094266" w:rsidRDefault="00094266" w:rsidP="00AE47E2">
      <w:pPr>
        <w:spacing w:after="0" w:line="240" w:lineRule="auto"/>
        <w:jc w:val="both"/>
        <w:rPr>
          <w:rFonts w:cstheme="minorHAnsi"/>
        </w:rPr>
      </w:pPr>
      <w:r>
        <w:rPr>
          <w:rFonts w:cstheme="minorHAnsi"/>
        </w:rPr>
        <w:t>Given the complex and multidimensional nature of child marriage and related vulnerabilities, u</w:t>
      </w:r>
      <w:r w:rsidR="00AE47E2" w:rsidRPr="00AE47E2">
        <w:rPr>
          <w:rFonts w:cstheme="minorHAnsi"/>
        </w:rPr>
        <w:t>sing a mix</w:t>
      </w:r>
      <w:r>
        <w:rPr>
          <w:rFonts w:cstheme="minorHAnsi"/>
        </w:rPr>
        <w:t xml:space="preserve">ed method approach is strongly recommended. Evidence from research and evaluation in this field demonstrates that combining quantitative and qualitative methods enhances the depth, validity and triangulation of findings. </w:t>
      </w:r>
      <w:r w:rsidRPr="00094266">
        <w:rPr>
          <w:rFonts w:cstheme="minorHAnsi"/>
        </w:rPr>
        <w:t>While quantitative methods enable the measurement of prevalence, knowledge, attitudes, practices and key outcome indicators, qualitative approaches provide critical insights into the underlying drivers, perceptions, social norms and contextual factors that influence these outcomes.</w:t>
      </w:r>
      <w:r>
        <w:rPr>
          <w:rFonts w:cstheme="minorHAnsi"/>
        </w:rPr>
        <w:t xml:space="preserve"> </w:t>
      </w:r>
    </w:p>
    <w:p w14:paraId="007260D1" w14:textId="77777777" w:rsidR="00094266" w:rsidRDefault="00094266" w:rsidP="00AE47E2">
      <w:pPr>
        <w:spacing w:after="0" w:line="240" w:lineRule="auto"/>
        <w:jc w:val="both"/>
        <w:rPr>
          <w:rFonts w:cstheme="minorHAnsi"/>
        </w:rPr>
      </w:pPr>
    </w:p>
    <w:p w14:paraId="7703B490" w14:textId="54166AA7" w:rsidR="00094266" w:rsidRDefault="00094266" w:rsidP="00AE47E2">
      <w:pPr>
        <w:spacing w:after="0" w:line="240" w:lineRule="auto"/>
        <w:jc w:val="both"/>
        <w:rPr>
          <w:rFonts w:cstheme="minorHAnsi"/>
        </w:rPr>
      </w:pPr>
      <w:r w:rsidRPr="00094266">
        <w:rPr>
          <w:rFonts w:cstheme="minorHAnsi"/>
        </w:rPr>
        <w:t xml:space="preserve">To establish a comprehensive baseline, the study should assess the extent to which the environment enables adolescent girls to remain in education, exercise their sexual and reproductive health and rights (SRHR) and reduce their exposure to child marriage risks including those associated with poverty, disasters, safety concerns and digital or cyber threats. Therefore, quantitative surveys should be complemented by qualitative methods such as focus group discussions (FGDs), key informant interviews (KIIs) and in-depth interviews (IDIs), enabling a more nuanced understanding of both the “what” and the “why” behind the findings. </w:t>
      </w:r>
    </w:p>
    <w:p w14:paraId="402FE873" w14:textId="77777777" w:rsidR="00810316" w:rsidRPr="00EF0B2E" w:rsidRDefault="00810316" w:rsidP="00EF0B2E">
      <w:pPr>
        <w:autoSpaceDE w:val="0"/>
        <w:autoSpaceDN w:val="0"/>
        <w:adjustRightInd w:val="0"/>
        <w:spacing w:after="0" w:line="240" w:lineRule="auto"/>
        <w:jc w:val="both"/>
        <w:rPr>
          <w:rFonts w:cstheme="minorHAnsi"/>
        </w:rPr>
      </w:pPr>
    </w:p>
    <w:p w14:paraId="6C5BFA68" w14:textId="7B96C244" w:rsidR="00263099" w:rsidRPr="00C91B1C" w:rsidRDefault="00263099" w:rsidP="00C91B1C">
      <w:pPr>
        <w:pStyle w:val="ListParagraph"/>
        <w:numPr>
          <w:ilvl w:val="0"/>
          <w:numId w:val="21"/>
        </w:numPr>
        <w:spacing w:after="0" w:line="240" w:lineRule="auto"/>
        <w:rPr>
          <w:rFonts w:cstheme="minorHAnsi"/>
          <w:b/>
          <w:bCs/>
          <w:sz w:val="22"/>
          <w:szCs w:val="22"/>
        </w:rPr>
      </w:pPr>
      <w:r w:rsidRPr="00C91B1C">
        <w:rPr>
          <w:rFonts w:cstheme="minorHAnsi"/>
          <w:b/>
          <w:bCs/>
          <w:sz w:val="22"/>
          <w:szCs w:val="22"/>
        </w:rPr>
        <w:t xml:space="preserve">Ethical </w:t>
      </w:r>
      <w:r w:rsidR="00C91B1C" w:rsidRPr="00C91B1C">
        <w:rPr>
          <w:rFonts w:cstheme="minorHAnsi"/>
          <w:b/>
          <w:bCs/>
          <w:sz w:val="22"/>
          <w:szCs w:val="22"/>
        </w:rPr>
        <w:t xml:space="preserve">Protocols </w:t>
      </w:r>
      <w:r w:rsidR="00C91B1C">
        <w:rPr>
          <w:rFonts w:cstheme="minorHAnsi"/>
          <w:b/>
          <w:bCs/>
          <w:sz w:val="22"/>
          <w:szCs w:val="22"/>
        </w:rPr>
        <w:t>a</w:t>
      </w:r>
      <w:r w:rsidR="00C91B1C" w:rsidRPr="00C91B1C">
        <w:rPr>
          <w:rFonts w:cstheme="minorHAnsi"/>
          <w:b/>
          <w:bCs/>
          <w:sz w:val="22"/>
          <w:szCs w:val="22"/>
        </w:rPr>
        <w:t>nd Safeguarding</w:t>
      </w:r>
    </w:p>
    <w:p w14:paraId="21D2C93D" w14:textId="77777777" w:rsidR="00263099" w:rsidRPr="008155C9" w:rsidRDefault="00263099" w:rsidP="008155C9">
      <w:pPr>
        <w:autoSpaceDE w:val="0"/>
        <w:autoSpaceDN w:val="0"/>
        <w:adjustRightInd w:val="0"/>
        <w:spacing w:after="0" w:line="240" w:lineRule="auto"/>
        <w:jc w:val="both"/>
        <w:rPr>
          <w:rFonts w:cstheme="minorHAnsi"/>
        </w:rPr>
      </w:pPr>
      <w:r w:rsidRPr="008155C9">
        <w:rPr>
          <w:rFonts w:cstheme="minorHAnsi"/>
        </w:rPr>
        <w:t>The consultant must strictly adhere to THP’s Child Protection Policy and international ethical standards for researching children. Specifically:</w:t>
      </w:r>
    </w:p>
    <w:p w14:paraId="4220A4D1" w14:textId="4E6236F1" w:rsidR="00263099" w:rsidRPr="008155C9" w:rsidRDefault="00263099" w:rsidP="008155C9">
      <w:pPr>
        <w:pStyle w:val="ListParagraph"/>
        <w:numPr>
          <w:ilvl w:val="0"/>
          <w:numId w:val="17"/>
        </w:numPr>
        <w:autoSpaceDE w:val="0"/>
        <w:autoSpaceDN w:val="0"/>
        <w:adjustRightInd w:val="0"/>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W</w:t>
      </w:r>
      <w:r w:rsidRPr="00EF0B2E">
        <w:rPr>
          <w:rFonts w:asciiTheme="minorHAnsi" w:hAnsiTheme="minorHAnsi" w:cstheme="minorHAnsi"/>
          <w:sz w:val="22"/>
          <w:szCs w:val="22"/>
        </w:rPr>
        <w:t>ritten consent from parents and verbal/written assent from adolescents must be obtained.</w:t>
      </w:r>
    </w:p>
    <w:p w14:paraId="28418AB2" w14:textId="77777777" w:rsidR="00263099" w:rsidRPr="008155C9" w:rsidRDefault="00263099" w:rsidP="008155C9">
      <w:pPr>
        <w:pStyle w:val="ListParagraph"/>
        <w:numPr>
          <w:ilvl w:val="0"/>
          <w:numId w:val="17"/>
        </w:numPr>
        <w:autoSpaceDE w:val="0"/>
        <w:autoSpaceDN w:val="0"/>
        <w:adjustRightInd w:val="0"/>
        <w:spacing w:after="0" w:line="240" w:lineRule="auto"/>
        <w:jc w:val="both"/>
        <w:rPr>
          <w:rFonts w:asciiTheme="minorHAnsi" w:hAnsiTheme="minorHAnsi" w:cstheme="minorHAnsi"/>
          <w:sz w:val="22"/>
          <w:szCs w:val="22"/>
        </w:rPr>
      </w:pPr>
      <w:r w:rsidRPr="00EF0B2E">
        <w:rPr>
          <w:rFonts w:asciiTheme="minorHAnsi" w:hAnsiTheme="minorHAnsi" w:cstheme="minorHAnsi"/>
          <w:sz w:val="22"/>
          <w:szCs w:val="22"/>
        </w:rPr>
        <w:t>Data collection must not re-traumatize victims of violence or child marriage</w:t>
      </w:r>
      <w:r w:rsidRPr="008155C9">
        <w:rPr>
          <w:rFonts w:asciiTheme="minorHAnsi" w:hAnsiTheme="minorHAnsi" w:cstheme="minorHAnsi"/>
          <w:sz w:val="22"/>
          <w:szCs w:val="22"/>
        </w:rPr>
        <w:t xml:space="preserve"> as part of Do-No-Harm</w:t>
      </w:r>
      <w:r w:rsidRPr="00EF0B2E">
        <w:rPr>
          <w:rFonts w:asciiTheme="minorHAnsi" w:hAnsiTheme="minorHAnsi" w:cstheme="minorHAnsi"/>
          <w:sz w:val="22"/>
          <w:szCs w:val="22"/>
        </w:rPr>
        <w:t>.</w:t>
      </w:r>
    </w:p>
    <w:p w14:paraId="3E7AE80B" w14:textId="77777777" w:rsidR="00263099" w:rsidRPr="008155C9" w:rsidRDefault="00263099" w:rsidP="008155C9">
      <w:pPr>
        <w:pStyle w:val="ListParagraph"/>
        <w:numPr>
          <w:ilvl w:val="0"/>
          <w:numId w:val="17"/>
        </w:numPr>
        <w:autoSpaceDE w:val="0"/>
        <w:autoSpaceDN w:val="0"/>
        <w:adjustRightInd w:val="0"/>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To ensure the s</w:t>
      </w:r>
      <w:r w:rsidRPr="00EF0B2E">
        <w:rPr>
          <w:rFonts w:asciiTheme="minorHAnsi" w:hAnsiTheme="minorHAnsi" w:cstheme="minorHAnsi"/>
          <w:sz w:val="22"/>
          <w:szCs w:val="22"/>
        </w:rPr>
        <w:t xml:space="preserve">afe </w:t>
      </w:r>
      <w:r w:rsidRPr="008155C9">
        <w:rPr>
          <w:rFonts w:asciiTheme="minorHAnsi" w:hAnsiTheme="minorHAnsi" w:cstheme="minorHAnsi"/>
          <w:sz w:val="22"/>
          <w:szCs w:val="22"/>
        </w:rPr>
        <w:t>r</w:t>
      </w:r>
      <w:r w:rsidRPr="00EF0B2E">
        <w:rPr>
          <w:rFonts w:asciiTheme="minorHAnsi" w:hAnsiTheme="minorHAnsi" w:cstheme="minorHAnsi"/>
          <w:sz w:val="22"/>
          <w:szCs w:val="22"/>
        </w:rPr>
        <w:t xml:space="preserve">eferral </w:t>
      </w:r>
      <w:r w:rsidRPr="008155C9">
        <w:rPr>
          <w:rFonts w:asciiTheme="minorHAnsi" w:hAnsiTheme="minorHAnsi" w:cstheme="minorHAnsi"/>
          <w:sz w:val="22"/>
          <w:szCs w:val="22"/>
        </w:rPr>
        <w:t>pathways, enumerators</w:t>
      </w:r>
      <w:r w:rsidRPr="00EF0B2E">
        <w:rPr>
          <w:rFonts w:asciiTheme="minorHAnsi" w:hAnsiTheme="minorHAnsi" w:cstheme="minorHAnsi"/>
          <w:sz w:val="22"/>
          <w:szCs w:val="22"/>
        </w:rPr>
        <w:t xml:space="preserve"> must be trained to provide information on local support services/hotlines if a participant discloses an active risk or abuse during an interview.</w:t>
      </w:r>
    </w:p>
    <w:p w14:paraId="5E1946C4" w14:textId="77777777" w:rsidR="003861CA" w:rsidRPr="008155C9" w:rsidRDefault="00263099" w:rsidP="008155C9">
      <w:pPr>
        <w:pStyle w:val="ListParagraph"/>
        <w:numPr>
          <w:ilvl w:val="0"/>
          <w:numId w:val="17"/>
        </w:numPr>
        <w:autoSpaceDE w:val="0"/>
        <w:autoSpaceDN w:val="0"/>
        <w:adjustRightInd w:val="0"/>
        <w:spacing w:after="0" w:line="240" w:lineRule="auto"/>
        <w:jc w:val="both"/>
        <w:rPr>
          <w:rFonts w:asciiTheme="minorHAnsi" w:hAnsiTheme="minorHAnsi" w:cstheme="minorHAnsi"/>
          <w:sz w:val="22"/>
          <w:szCs w:val="22"/>
        </w:rPr>
      </w:pPr>
      <w:r w:rsidRPr="00EF0B2E">
        <w:rPr>
          <w:rFonts w:asciiTheme="minorHAnsi" w:hAnsiTheme="minorHAnsi" w:cstheme="minorHAnsi"/>
          <w:sz w:val="22"/>
          <w:szCs w:val="22"/>
        </w:rPr>
        <w:t>To ensure the gender sensitivity, female enumerators must interview adolescent girls and women.</w:t>
      </w:r>
    </w:p>
    <w:p w14:paraId="2B0C9644" w14:textId="6B721C7E" w:rsidR="00263099" w:rsidRPr="008155C9" w:rsidRDefault="003861CA" w:rsidP="008155C9">
      <w:pPr>
        <w:pStyle w:val="ListParagraph"/>
        <w:numPr>
          <w:ilvl w:val="0"/>
          <w:numId w:val="17"/>
        </w:numPr>
        <w:autoSpaceDE w:val="0"/>
        <w:autoSpaceDN w:val="0"/>
        <w:adjustRightInd w:val="0"/>
        <w:spacing w:after="0" w:line="240" w:lineRule="auto"/>
        <w:jc w:val="both"/>
        <w:rPr>
          <w:rFonts w:asciiTheme="minorHAnsi" w:hAnsiTheme="minorHAnsi" w:cstheme="minorHAnsi"/>
          <w:sz w:val="22"/>
          <w:szCs w:val="22"/>
        </w:rPr>
      </w:pPr>
      <w:r w:rsidRPr="00EF0B2E">
        <w:rPr>
          <w:rFonts w:asciiTheme="minorHAnsi" w:hAnsiTheme="minorHAnsi" w:cstheme="minorHAnsi"/>
          <w:sz w:val="22"/>
          <w:szCs w:val="22"/>
        </w:rPr>
        <w:t xml:space="preserve">To ensure </w:t>
      </w:r>
      <w:r w:rsidR="004958AA" w:rsidRPr="008155C9">
        <w:rPr>
          <w:rFonts w:asciiTheme="minorHAnsi" w:hAnsiTheme="minorHAnsi" w:cstheme="minorHAnsi"/>
          <w:sz w:val="22"/>
          <w:szCs w:val="22"/>
        </w:rPr>
        <w:t>confidentiality</w:t>
      </w:r>
      <w:r w:rsidRPr="00EF0B2E">
        <w:rPr>
          <w:rFonts w:asciiTheme="minorHAnsi" w:hAnsiTheme="minorHAnsi" w:cstheme="minorHAnsi"/>
          <w:sz w:val="22"/>
          <w:szCs w:val="22"/>
        </w:rPr>
        <w:t>, a</w:t>
      </w:r>
      <w:r w:rsidR="00263099" w:rsidRPr="00EF0B2E">
        <w:rPr>
          <w:rFonts w:asciiTheme="minorHAnsi" w:hAnsiTheme="minorHAnsi" w:cstheme="minorHAnsi"/>
          <w:sz w:val="22"/>
          <w:szCs w:val="22"/>
        </w:rPr>
        <w:t>ll data must be anonymized and stored securely.</w:t>
      </w:r>
    </w:p>
    <w:p w14:paraId="3195CB2E" w14:textId="77777777" w:rsidR="003861CA" w:rsidRPr="009322F5" w:rsidRDefault="003861CA" w:rsidP="009322F5">
      <w:pPr>
        <w:autoSpaceDE w:val="0"/>
        <w:autoSpaceDN w:val="0"/>
        <w:adjustRightInd w:val="0"/>
        <w:spacing w:after="0" w:line="240" w:lineRule="auto"/>
        <w:jc w:val="both"/>
        <w:rPr>
          <w:rFonts w:cstheme="minorHAnsi"/>
        </w:rPr>
      </w:pPr>
    </w:p>
    <w:p w14:paraId="3F500F5B" w14:textId="58B4D714" w:rsidR="00567DA8" w:rsidRPr="00C91B1C" w:rsidRDefault="00567DA8" w:rsidP="00C91B1C">
      <w:pPr>
        <w:pStyle w:val="ListParagraph"/>
        <w:numPr>
          <w:ilvl w:val="0"/>
          <w:numId w:val="21"/>
        </w:numPr>
        <w:spacing w:after="0" w:line="240" w:lineRule="auto"/>
        <w:rPr>
          <w:rFonts w:cstheme="minorHAnsi"/>
          <w:b/>
          <w:bCs/>
          <w:sz w:val="22"/>
          <w:szCs w:val="22"/>
        </w:rPr>
      </w:pPr>
      <w:r w:rsidRPr="00C91B1C">
        <w:rPr>
          <w:rFonts w:cstheme="minorHAnsi"/>
          <w:b/>
          <w:bCs/>
          <w:sz w:val="22"/>
          <w:szCs w:val="22"/>
        </w:rPr>
        <w:t>Scope of Work</w:t>
      </w:r>
    </w:p>
    <w:p w14:paraId="7E0DBA2A" w14:textId="5F197364" w:rsidR="00290229" w:rsidRDefault="00A240BF" w:rsidP="008155C9">
      <w:pPr>
        <w:autoSpaceDE w:val="0"/>
        <w:autoSpaceDN w:val="0"/>
        <w:adjustRightInd w:val="0"/>
        <w:spacing w:after="0" w:line="240" w:lineRule="auto"/>
        <w:jc w:val="both"/>
        <w:rPr>
          <w:rFonts w:cstheme="minorHAnsi"/>
        </w:rPr>
      </w:pPr>
      <w:r w:rsidRPr="008155C9">
        <w:rPr>
          <w:rFonts w:cstheme="minorHAnsi"/>
        </w:rPr>
        <w:t>The consultant/</w:t>
      </w:r>
      <w:r w:rsidR="006235C8" w:rsidRPr="008155C9">
        <w:rPr>
          <w:rFonts w:cstheme="minorHAnsi"/>
        </w:rPr>
        <w:t>organization</w:t>
      </w:r>
      <w:r w:rsidRPr="008155C9">
        <w:rPr>
          <w:rFonts w:cstheme="minorHAnsi"/>
        </w:rPr>
        <w:t xml:space="preserve"> undertaking the work will be responsible to collect and review reference documents, develop methodology, develop and test data collection instruments, mobilize and train enumerators (including training on the ethical and safety consideration when collecting data), manage field level data collection, undertake data entry and compilation, data analysis, translate the field notes for the KIIs, FGDs and others into English, report preparation and presentation of the final outcome. The consultant</w:t>
      </w:r>
      <w:r w:rsidR="00FF450A" w:rsidRPr="008155C9">
        <w:rPr>
          <w:rFonts w:cstheme="minorHAnsi"/>
        </w:rPr>
        <w:t>/</w:t>
      </w:r>
      <w:r w:rsidR="002E3839">
        <w:rPr>
          <w:rFonts w:cstheme="minorHAnsi"/>
        </w:rPr>
        <w:t xml:space="preserve"> </w:t>
      </w:r>
      <w:r w:rsidR="00FF450A" w:rsidRPr="008155C9">
        <w:rPr>
          <w:rFonts w:cstheme="minorHAnsi"/>
        </w:rPr>
        <w:t>firm</w:t>
      </w:r>
      <w:r w:rsidRPr="008155C9">
        <w:rPr>
          <w:rFonts w:cstheme="minorHAnsi"/>
        </w:rPr>
        <w:t xml:space="preserve"> will finalize the report after taking feedback from </w:t>
      </w:r>
      <w:r w:rsidR="006235C8" w:rsidRPr="008155C9">
        <w:rPr>
          <w:rFonts w:cstheme="minorHAnsi"/>
        </w:rPr>
        <w:t>THP</w:t>
      </w:r>
      <w:r w:rsidR="00FF450A" w:rsidRPr="008155C9">
        <w:rPr>
          <w:rFonts w:cstheme="minorHAnsi"/>
        </w:rPr>
        <w:t xml:space="preserve">. </w:t>
      </w:r>
      <w:r w:rsidRPr="008155C9">
        <w:rPr>
          <w:rFonts w:cstheme="minorHAnsi"/>
        </w:rPr>
        <w:t>All documents and data collected will be treated as confidential and used solely to facilitate analysis. Interviewees will not be quoted in the reports without their permission.</w:t>
      </w:r>
      <w:r w:rsidR="00290229">
        <w:rPr>
          <w:rFonts w:cstheme="minorHAnsi"/>
        </w:rPr>
        <w:t xml:space="preserve"> However following heads need to be considered as and where required during the baseline-</w:t>
      </w:r>
    </w:p>
    <w:p w14:paraId="1AE8A6D8" w14:textId="77777777" w:rsidR="00A2113E" w:rsidRDefault="00A2113E" w:rsidP="008155C9">
      <w:pPr>
        <w:autoSpaceDE w:val="0"/>
        <w:autoSpaceDN w:val="0"/>
        <w:adjustRightInd w:val="0"/>
        <w:spacing w:after="0" w:line="240" w:lineRule="auto"/>
        <w:jc w:val="both"/>
        <w:rPr>
          <w:rFonts w:cstheme="minorHAnsi"/>
        </w:rPr>
      </w:pPr>
    </w:p>
    <w:p w14:paraId="76F29259" w14:textId="0270C3CD" w:rsidR="00290229" w:rsidRPr="00EF0B2E" w:rsidRDefault="00290229" w:rsidP="00EF0B2E">
      <w:pPr>
        <w:pStyle w:val="ListParagraph"/>
        <w:numPr>
          <w:ilvl w:val="0"/>
          <w:numId w:val="22"/>
        </w:numPr>
        <w:autoSpaceDE w:val="0"/>
        <w:autoSpaceDN w:val="0"/>
        <w:adjustRightInd w:val="0"/>
        <w:spacing w:after="0" w:line="240" w:lineRule="auto"/>
        <w:jc w:val="both"/>
        <w:rPr>
          <w:rFonts w:cstheme="minorHAnsi"/>
          <w:sz w:val="22"/>
          <w:szCs w:val="22"/>
        </w:rPr>
      </w:pPr>
      <w:r>
        <w:rPr>
          <w:rFonts w:cstheme="minorHAnsi"/>
          <w:sz w:val="22"/>
          <w:szCs w:val="22"/>
        </w:rPr>
        <w:lastRenderedPageBreak/>
        <w:t>R</w:t>
      </w:r>
      <w:r w:rsidRPr="00EF0B2E">
        <w:rPr>
          <w:rFonts w:cstheme="minorHAnsi"/>
          <w:sz w:val="22"/>
          <w:szCs w:val="22"/>
        </w:rPr>
        <w:t>eview and reference the Phase 1 evaluation findings and the 2025 feasibility study (conducted by BSAFE) before designing tools, as these contain existing baseline-approximate values that should inform but not replace the Phase 2 baseline.</w:t>
      </w:r>
    </w:p>
    <w:p w14:paraId="52E548B5" w14:textId="343DFEFE" w:rsidR="00290229" w:rsidRPr="00EF0B2E" w:rsidRDefault="00290229" w:rsidP="00EF0B2E">
      <w:pPr>
        <w:pStyle w:val="ListParagraph"/>
        <w:numPr>
          <w:ilvl w:val="0"/>
          <w:numId w:val="22"/>
        </w:numPr>
        <w:autoSpaceDE w:val="0"/>
        <w:autoSpaceDN w:val="0"/>
        <w:adjustRightInd w:val="0"/>
        <w:spacing w:after="0" w:line="240" w:lineRule="auto"/>
        <w:jc w:val="both"/>
        <w:rPr>
          <w:rFonts w:cstheme="minorHAnsi"/>
          <w:sz w:val="22"/>
          <w:szCs w:val="22"/>
        </w:rPr>
      </w:pPr>
      <w:r>
        <w:rPr>
          <w:rFonts w:cstheme="minorHAnsi"/>
          <w:sz w:val="22"/>
          <w:szCs w:val="22"/>
        </w:rPr>
        <w:t>C</w:t>
      </w:r>
      <w:r w:rsidRPr="00EF0B2E">
        <w:rPr>
          <w:rFonts w:cstheme="minorHAnsi"/>
          <w:sz w:val="22"/>
          <w:szCs w:val="22"/>
        </w:rPr>
        <w:t>onduct an institutional functionality assessment of existing UCMPCs across all 32 unions and 5 upazilas against minimum criteria (composition, meeting frequency, documentation, case management</w:t>
      </w:r>
      <w:r>
        <w:rPr>
          <w:rFonts w:cstheme="minorHAnsi"/>
          <w:sz w:val="22"/>
          <w:szCs w:val="22"/>
        </w:rPr>
        <w:t xml:space="preserve"> etc.</w:t>
      </w:r>
      <w:r w:rsidRPr="00EF0B2E">
        <w:rPr>
          <w:rFonts w:cstheme="minorHAnsi"/>
          <w:sz w:val="22"/>
          <w:szCs w:val="22"/>
        </w:rPr>
        <w:t>).</w:t>
      </w:r>
    </w:p>
    <w:p w14:paraId="412322A4" w14:textId="0B301C2B" w:rsidR="00290229" w:rsidRPr="00EF0B2E" w:rsidRDefault="00290229" w:rsidP="00EF0B2E">
      <w:pPr>
        <w:pStyle w:val="ListParagraph"/>
        <w:numPr>
          <w:ilvl w:val="0"/>
          <w:numId w:val="22"/>
        </w:numPr>
        <w:autoSpaceDE w:val="0"/>
        <w:autoSpaceDN w:val="0"/>
        <w:adjustRightInd w:val="0"/>
        <w:spacing w:after="0" w:line="240" w:lineRule="auto"/>
        <w:jc w:val="both"/>
        <w:rPr>
          <w:rFonts w:cstheme="minorHAnsi"/>
          <w:sz w:val="22"/>
          <w:szCs w:val="22"/>
        </w:rPr>
      </w:pPr>
      <w:r>
        <w:rPr>
          <w:rFonts w:cstheme="minorHAnsi"/>
          <w:sz w:val="22"/>
          <w:szCs w:val="22"/>
        </w:rPr>
        <w:t>A</w:t>
      </w:r>
      <w:r w:rsidRPr="00EF0B2E">
        <w:rPr>
          <w:rFonts w:cstheme="minorHAnsi"/>
          <w:sz w:val="22"/>
          <w:szCs w:val="22"/>
        </w:rPr>
        <w:t>ssess school-level implementation of existing protection/prevention measures across all 128 target schools.</w:t>
      </w:r>
    </w:p>
    <w:p w14:paraId="70E6FA64" w14:textId="77777777" w:rsidR="00EC3ED5" w:rsidRPr="008155C9" w:rsidRDefault="00EC3ED5" w:rsidP="008155C9">
      <w:pPr>
        <w:pStyle w:val="Default"/>
        <w:rPr>
          <w:rFonts w:asciiTheme="minorHAnsi" w:hAnsiTheme="minorHAnsi" w:cstheme="minorHAnsi"/>
          <w:sz w:val="22"/>
          <w:szCs w:val="22"/>
        </w:rPr>
      </w:pPr>
    </w:p>
    <w:p w14:paraId="18C122BF" w14:textId="45F86192" w:rsidR="00EC3ED5" w:rsidRPr="00C91B1C" w:rsidRDefault="00EC3ED5" w:rsidP="00C91B1C">
      <w:pPr>
        <w:pStyle w:val="ListParagraph"/>
        <w:numPr>
          <w:ilvl w:val="0"/>
          <w:numId w:val="21"/>
        </w:numPr>
        <w:spacing w:after="0" w:line="240" w:lineRule="auto"/>
        <w:rPr>
          <w:rFonts w:cstheme="minorHAnsi"/>
          <w:b/>
          <w:bCs/>
          <w:sz w:val="22"/>
          <w:szCs w:val="22"/>
        </w:rPr>
      </w:pPr>
      <w:r w:rsidRPr="00C91B1C">
        <w:rPr>
          <w:rFonts w:cstheme="minorHAnsi"/>
          <w:b/>
          <w:bCs/>
          <w:sz w:val="22"/>
          <w:szCs w:val="22"/>
        </w:rPr>
        <w:t>Expected Deliverables</w:t>
      </w:r>
    </w:p>
    <w:p w14:paraId="7A9709D0" w14:textId="77777777" w:rsidR="00E56F39" w:rsidRPr="008155C9" w:rsidRDefault="00EC3ED5" w:rsidP="008155C9">
      <w:pPr>
        <w:pStyle w:val="Default"/>
        <w:jc w:val="both"/>
        <w:rPr>
          <w:rFonts w:asciiTheme="minorHAnsi" w:hAnsiTheme="minorHAnsi" w:cstheme="minorHAnsi"/>
          <w:sz w:val="22"/>
          <w:szCs w:val="22"/>
        </w:rPr>
      </w:pPr>
      <w:r w:rsidRPr="008155C9">
        <w:rPr>
          <w:rFonts w:asciiTheme="minorHAnsi" w:hAnsiTheme="minorHAnsi" w:cstheme="minorHAnsi"/>
          <w:sz w:val="22"/>
          <w:szCs w:val="22"/>
        </w:rPr>
        <w:t xml:space="preserve">The </w:t>
      </w:r>
      <w:r w:rsidR="00E56F39" w:rsidRPr="008155C9">
        <w:rPr>
          <w:rFonts w:asciiTheme="minorHAnsi" w:hAnsiTheme="minorHAnsi" w:cstheme="minorHAnsi"/>
          <w:sz w:val="22"/>
          <w:szCs w:val="22"/>
        </w:rPr>
        <w:t>organization</w:t>
      </w:r>
      <w:r w:rsidRPr="008155C9">
        <w:rPr>
          <w:rFonts w:asciiTheme="minorHAnsi" w:hAnsiTheme="minorHAnsi" w:cstheme="minorHAnsi"/>
          <w:sz w:val="22"/>
          <w:szCs w:val="22"/>
        </w:rPr>
        <w:t>/consultant shall produce the following deliverables:</w:t>
      </w:r>
    </w:p>
    <w:p w14:paraId="6F375858" w14:textId="6517366D" w:rsidR="00163262" w:rsidRPr="00163262" w:rsidRDefault="00163262" w:rsidP="00EF0B2E">
      <w:pPr>
        <w:pStyle w:val="Default"/>
        <w:numPr>
          <w:ilvl w:val="0"/>
          <w:numId w:val="23"/>
        </w:numPr>
        <w:jc w:val="both"/>
        <w:rPr>
          <w:rFonts w:asciiTheme="minorHAnsi" w:eastAsia="Times New Roman" w:hAnsiTheme="minorHAnsi" w:cstheme="minorHAnsi"/>
          <w:color w:val="auto"/>
          <w:sz w:val="22"/>
          <w:szCs w:val="22"/>
        </w:rPr>
      </w:pPr>
      <w:r w:rsidRPr="00EF0B2E">
        <w:rPr>
          <w:rFonts w:asciiTheme="minorHAnsi" w:eastAsia="Times New Roman" w:hAnsiTheme="minorHAnsi" w:cstheme="minorHAnsi"/>
          <w:b/>
          <w:bCs/>
          <w:color w:val="auto"/>
          <w:sz w:val="22"/>
          <w:szCs w:val="22"/>
        </w:rPr>
        <w:t>Inception report:</w:t>
      </w:r>
      <w:r>
        <w:rPr>
          <w:rFonts w:asciiTheme="minorHAnsi" w:eastAsia="Times New Roman" w:hAnsiTheme="minorHAnsi" w:cstheme="minorHAnsi"/>
          <w:color w:val="auto"/>
          <w:sz w:val="22"/>
          <w:szCs w:val="22"/>
        </w:rPr>
        <w:t xml:space="preserve"> </w:t>
      </w:r>
      <w:r w:rsidRPr="00163262">
        <w:rPr>
          <w:rFonts w:asciiTheme="minorHAnsi" w:eastAsia="Times New Roman" w:hAnsiTheme="minorHAnsi" w:cstheme="minorHAnsi"/>
          <w:color w:val="auto"/>
          <w:sz w:val="22"/>
          <w:szCs w:val="22"/>
        </w:rPr>
        <w:t>including detailed methodology, sampling strategy with statistical justification, data collection tools, work plan and ethical/safeguarding protocols. Due within 10 days of contract signing and subject to THP</w:t>
      </w:r>
      <w:r w:rsidR="002E3839">
        <w:rPr>
          <w:rFonts w:asciiTheme="minorHAnsi" w:eastAsia="Times New Roman" w:hAnsiTheme="minorHAnsi" w:cstheme="minorHAnsi"/>
          <w:color w:val="auto"/>
          <w:sz w:val="22"/>
          <w:szCs w:val="22"/>
        </w:rPr>
        <w:t>’s</w:t>
      </w:r>
      <w:r w:rsidRPr="00163262">
        <w:rPr>
          <w:rFonts w:asciiTheme="minorHAnsi" w:eastAsia="Times New Roman" w:hAnsiTheme="minorHAnsi" w:cstheme="minorHAnsi"/>
          <w:color w:val="auto"/>
          <w:sz w:val="22"/>
          <w:szCs w:val="22"/>
        </w:rPr>
        <w:t xml:space="preserve"> approval before fieldwork begins.</w:t>
      </w:r>
    </w:p>
    <w:p w14:paraId="39450867" w14:textId="7B708AF3" w:rsidR="00163262" w:rsidRPr="00163262" w:rsidRDefault="00163262" w:rsidP="00EF0B2E">
      <w:pPr>
        <w:pStyle w:val="Default"/>
        <w:numPr>
          <w:ilvl w:val="0"/>
          <w:numId w:val="23"/>
        </w:numPr>
        <w:jc w:val="both"/>
        <w:rPr>
          <w:rFonts w:asciiTheme="minorHAnsi" w:eastAsia="Times New Roman" w:hAnsiTheme="minorHAnsi" w:cstheme="minorHAnsi"/>
          <w:color w:val="auto"/>
          <w:sz w:val="22"/>
          <w:szCs w:val="22"/>
        </w:rPr>
      </w:pPr>
      <w:r w:rsidRPr="00EF0B2E">
        <w:rPr>
          <w:rFonts w:asciiTheme="minorHAnsi" w:eastAsia="Times New Roman" w:hAnsiTheme="minorHAnsi" w:cstheme="minorHAnsi"/>
          <w:b/>
          <w:bCs/>
          <w:color w:val="auto"/>
          <w:sz w:val="22"/>
          <w:szCs w:val="22"/>
        </w:rPr>
        <w:t>Validated and pre-tested data collection tools:</w:t>
      </w:r>
      <w:r>
        <w:rPr>
          <w:rFonts w:asciiTheme="minorHAnsi" w:eastAsia="Times New Roman" w:hAnsiTheme="minorHAnsi" w:cstheme="minorHAnsi"/>
          <w:color w:val="auto"/>
          <w:sz w:val="22"/>
          <w:szCs w:val="22"/>
        </w:rPr>
        <w:t xml:space="preserve"> </w:t>
      </w:r>
      <w:r w:rsidRPr="00163262">
        <w:rPr>
          <w:rFonts w:asciiTheme="minorHAnsi" w:eastAsia="Times New Roman" w:hAnsiTheme="minorHAnsi" w:cstheme="minorHAnsi"/>
          <w:color w:val="auto"/>
          <w:sz w:val="22"/>
          <w:szCs w:val="22"/>
        </w:rPr>
        <w:t>quantitative survey instrument, FGD guides, KII guides and school/UCMPC institutional assessment checklist.</w:t>
      </w:r>
      <w:r w:rsidR="00A8157C">
        <w:rPr>
          <w:rFonts w:asciiTheme="minorHAnsi" w:eastAsia="Times New Roman" w:hAnsiTheme="minorHAnsi" w:cstheme="minorHAnsi"/>
          <w:color w:val="auto"/>
          <w:sz w:val="22"/>
          <w:szCs w:val="22"/>
        </w:rPr>
        <w:t xml:space="preserve"> To be s</w:t>
      </w:r>
      <w:r w:rsidRPr="00163262">
        <w:rPr>
          <w:rFonts w:asciiTheme="minorHAnsi" w:eastAsia="Times New Roman" w:hAnsiTheme="minorHAnsi" w:cstheme="minorHAnsi"/>
          <w:color w:val="auto"/>
          <w:sz w:val="22"/>
          <w:szCs w:val="22"/>
        </w:rPr>
        <w:t>ubmitted with the inception report.</w:t>
      </w:r>
    </w:p>
    <w:p w14:paraId="28602891" w14:textId="35EAC774" w:rsidR="00163262" w:rsidRPr="00163262" w:rsidRDefault="00163262" w:rsidP="00EF0B2E">
      <w:pPr>
        <w:pStyle w:val="Default"/>
        <w:numPr>
          <w:ilvl w:val="0"/>
          <w:numId w:val="23"/>
        </w:numPr>
        <w:jc w:val="both"/>
        <w:rPr>
          <w:rFonts w:asciiTheme="minorHAnsi" w:eastAsia="Times New Roman" w:hAnsiTheme="minorHAnsi" w:cstheme="minorHAnsi"/>
          <w:color w:val="auto"/>
          <w:sz w:val="22"/>
          <w:szCs w:val="22"/>
        </w:rPr>
      </w:pPr>
      <w:r w:rsidRPr="00EF0B2E">
        <w:rPr>
          <w:rFonts w:asciiTheme="minorHAnsi" w:eastAsia="Times New Roman" w:hAnsiTheme="minorHAnsi" w:cstheme="minorHAnsi"/>
          <w:b/>
          <w:bCs/>
          <w:color w:val="auto"/>
          <w:sz w:val="22"/>
          <w:szCs w:val="22"/>
        </w:rPr>
        <w:t>Enumerator training report:</w:t>
      </w:r>
      <w:r>
        <w:rPr>
          <w:rFonts w:asciiTheme="minorHAnsi" w:eastAsia="Times New Roman" w:hAnsiTheme="minorHAnsi" w:cstheme="minorHAnsi"/>
          <w:color w:val="auto"/>
          <w:sz w:val="22"/>
          <w:szCs w:val="22"/>
        </w:rPr>
        <w:t xml:space="preserve"> </w:t>
      </w:r>
      <w:r w:rsidRPr="00163262">
        <w:rPr>
          <w:rFonts w:asciiTheme="minorHAnsi" w:eastAsia="Times New Roman" w:hAnsiTheme="minorHAnsi" w:cstheme="minorHAnsi"/>
          <w:color w:val="auto"/>
          <w:sz w:val="22"/>
          <w:szCs w:val="22"/>
        </w:rPr>
        <w:t>brief record of training conducted including safeguarding and ethical training content.</w:t>
      </w:r>
    </w:p>
    <w:p w14:paraId="0C0111A7" w14:textId="77CDD352" w:rsidR="00163262" w:rsidRPr="00163262" w:rsidRDefault="00163262" w:rsidP="00EF0B2E">
      <w:pPr>
        <w:pStyle w:val="Default"/>
        <w:numPr>
          <w:ilvl w:val="0"/>
          <w:numId w:val="23"/>
        </w:numPr>
        <w:jc w:val="both"/>
        <w:rPr>
          <w:rFonts w:asciiTheme="minorHAnsi" w:eastAsia="Times New Roman" w:hAnsiTheme="minorHAnsi" w:cstheme="minorHAnsi"/>
          <w:color w:val="auto"/>
          <w:sz w:val="22"/>
          <w:szCs w:val="22"/>
        </w:rPr>
      </w:pPr>
      <w:r w:rsidRPr="00EF0B2E">
        <w:rPr>
          <w:rFonts w:asciiTheme="minorHAnsi" w:eastAsia="Times New Roman" w:hAnsiTheme="minorHAnsi" w:cstheme="minorHAnsi"/>
          <w:b/>
          <w:bCs/>
          <w:color w:val="auto"/>
          <w:sz w:val="22"/>
          <w:szCs w:val="22"/>
        </w:rPr>
        <w:t>Cleaned and anonymized dataset:</w:t>
      </w:r>
      <w:r>
        <w:rPr>
          <w:rFonts w:asciiTheme="minorHAnsi" w:eastAsia="Times New Roman" w:hAnsiTheme="minorHAnsi" w:cstheme="minorHAnsi"/>
          <w:color w:val="auto"/>
          <w:sz w:val="22"/>
          <w:szCs w:val="22"/>
        </w:rPr>
        <w:t xml:space="preserve"> </w:t>
      </w:r>
      <w:r w:rsidRPr="00163262">
        <w:rPr>
          <w:rFonts w:asciiTheme="minorHAnsi" w:eastAsia="Times New Roman" w:hAnsiTheme="minorHAnsi" w:cstheme="minorHAnsi"/>
          <w:color w:val="auto"/>
          <w:sz w:val="22"/>
          <w:szCs w:val="22"/>
        </w:rPr>
        <w:t>in SPSS and/or Excel format. All raw qualitative field notes and translated transcripts included as annexes.</w:t>
      </w:r>
    </w:p>
    <w:p w14:paraId="200EF861" w14:textId="43D9D6C2" w:rsidR="00163262" w:rsidRPr="00163262" w:rsidRDefault="00163262" w:rsidP="00EF0B2E">
      <w:pPr>
        <w:pStyle w:val="Default"/>
        <w:numPr>
          <w:ilvl w:val="0"/>
          <w:numId w:val="23"/>
        </w:numPr>
        <w:jc w:val="both"/>
        <w:rPr>
          <w:rFonts w:asciiTheme="minorHAnsi" w:eastAsia="Times New Roman" w:hAnsiTheme="minorHAnsi" w:cstheme="minorHAnsi"/>
          <w:color w:val="auto"/>
          <w:sz w:val="22"/>
          <w:szCs w:val="22"/>
        </w:rPr>
      </w:pPr>
      <w:r w:rsidRPr="00EF0B2E">
        <w:rPr>
          <w:rFonts w:asciiTheme="minorHAnsi" w:eastAsia="Times New Roman" w:hAnsiTheme="minorHAnsi" w:cstheme="minorHAnsi"/>
          <w:b/>
          <w:bCs/>
          <w:color w:val="auto"/>
          <w:sz w:val="22"/>
          <w:szCs w:val="22"/>
        </w:rPr>
        <w:t>Indicator baseline table:</w:t>
      </w:r>
      <w:r>
        <w:rPr>
          <w:rFonts w:asciiTheme="minorHAnsi" w:eastAsia="Times New Roman" w:hAnsiTheme="minorHAnsi" w:cstheme="minorHAnsi"/>
          <w:color w:val="auto"/>
          <w:sz w:val="22"/>
          <w:szCs w:val="22"/>
        </w:rPr>
        <w:t xml:space="preserve"> </w:t>
      </w:r>
      <w:r w:rsidRPr="00163262">
        <w:rPr>
          <w:rFonts w:asciiTheme="minorHAnsi" w:eastAsia="Times New Roman" w:hAnsiTheme="minorHAnsi" w:cstheme="minorHAnsi"/>
          <w:color w:val="auto"/>
          <w:sz w:val="22"/>
          <w:szCs w:val="22"/>
        </w:rPr>
        <w:t>a standalone table listing each project objective and sub-objective indicator with the established baseline value, measurement method, disaggregation, data source and notes on data quality or limitations.</w:t>
      </w:r>
    </w:p>
    <w:p w14:paraId="795B6A5D" w14:textId="29DD0CAC" w:rsidR="00163262" w:rsidRPr="00163262" w:rsidRDefault="00163262" w:rsidP="00EF0B2E">
      <w:pPr>
        <w:pStyle w:val="Default"/>
        <w:numPr>
          <w:ilvl w:val="0"/>
          <w:numId w:val="23"/>
        </w:numPr>
        <w:jc w:val="both"/>
        <w:rPr>
          <w:rFonts w:asciiTheme="minorHAnsi" w:eastAsia="Times New Roman" w:hAnsiTheme="minorHAnsi" w:cstheme="minorHAnsi"/>
          <w:color w:val="auto"/>
          <w:sz w:val="22"/>
          <w:szCs w:val="22"/>
        </w:rPr>
      </w:pPr>
      <w:r w:rsidRPr="00EF0B2E">
        <w:rPr>
          <w:rFonts w:asciiTheme="minorHAnsi" w:eastAsia="Times New Roman" w:hAnsiTheme="minorHAnsi" w:cstheme="minorHAnsi"/>
          <w:b/>
          <w:bCs/>
          <w:color w:val="auto"/>
          <w:sz w:val="22"/>
          <w:szCs w:val="22"/>
        </w:rPr>
        <w:t>Draft baseline report:</w:t>
      </w:r>
      <w:r>
        <w:rPr>
          <w:rFonts w:asciiTheme="minorHAnsi" w:eastAsia="Times New Roman" w:hAnsiTheme="minorHAnsi" w:cstheme="minorHAnsi"/>
          <w:color w:val="auto"/>
          <w:sz w:val="22"/>
          <w:szCs w:val="22"/>
        </w:rPr>
        <w:t xml:space="preserve"> </w:t>
      </w:r>
      <w:r w:rsidRPr="00163262">
        <w:rPr>
          <w:rFonts w:asciiTheme="minorHAnsi" w:eastAsia="Times New Roman" w:hAnsiTheme="minorHAnsi" w:cstheme="minorHAnsi"/>
          <w:color w:val="auto"/>
          <w:sz w:val="22"/>
          <w:szCs w:val="22"/>
        </w:rPr>
        <w:t>structured according to the study objectives and the impact matrix including an executive summary.</w:t>
      </w:r>
      <w:r w:rsidR="00A8157C">
        <w:rPr>
          <w:rFonts w:asciiTheme="minorHAnsi" w:eastAsia="Times New Roman" w:hAnsiTheme="minorHAnsi" w:cstheme="minorHAnsi"/>
          <w:color w:val="auto"/>
          <w:sz w:val="22"/>
          <w:szCs w:val="22"/>
        </w:rPr>
        <w:t xml:space="preserve"> To be s</w:t>
      </w:r>
      <w:r w:rsidRPr="00163262">
        <w:rPr>
          <w:rFonts w:asciiTheme="minorHAnsi" w:eastAsia="Times New Roman" w:hAnsiTheme="minorHAnsi" w:cstheme="minorHAnsi"/>
          <w:color w:val="auto"/>
          <w:sz w:val="22"/>
          <w:szCs w:val="22"/>
        </w:rPr>
        <w:t>ubmitted for review by THP.</w:t>
      </w:r>
    </w:p>
    <w:p w14:paraId="430C7CC7" w14:textId="4B027253" w:rsidR="00163262" w:rsidRPr="00163262" w:rsidRDefault="00163262" w:rsidP="00EF0B2E">
      <w:pPr>
        <w:pStyle w:val="Default"/>
        <w:numPr>
          <w:ilvl w:val="0"/>
          <w:numId w:val="23"/>
        </w:numPr>
        <w:jc w:val="both"/>
        <w:rPr>
          <w:rFonts w:asciiTheme="minorHAnsi" w:eastAsia="Times New Roman" w:hAnsiTheme="minorHAnsi" w:cstheme="minorHAnsi"/>
          <w:color w:val="auto"/>
          <w:sz w:val="22"/>
          <w:szCs w:val="22"/>
        </w:rPr>
      </w:pPr>
      <w:r w:rsidRPr="00EF0B2E">
        <w:rPr>
          <w:rFonts w:asciiTheme="minorHAnsi" w:eastAsia="Times New Roman" w:hAnsiTheme="minorHAnsi" w:cstheme="minorHAnsi"/>
          <w:b/>
          <w:bCs/>
          <w:color w:val="auto"/>
          <w:sz w:val="22"/>
          <w:szCs w:val="22"/>
        </w:rPr>
        <w:t>Presentation of draft findings</w:t>
      </w:r>
      <w:r w:rsidR="004B5F40" w:rsidRPr="00EF0B2E">
        <w:rPr>
          <w:rFonts w:asciiTheme="minorHAnsi" w:eastAsia="Times New Roman" w:hAnsiTheme="minorHAnsi" w:cstheme="minorHAnsi"/>
          <w:b/>
          <w:bCs/>
          <w:color w:val="auto"/>
          <w:sz w:val="22"/>
          <w:szCs w:val="22"/>
        </w:rPr>
        <w:t>:</w:t>
      </w:r>
      <w:r w:rsidR="004B5F40">
        <w:rPr>
          <w:rFonts w:asciiTheme="minorHAnsi" w:eastAsia="Times New Roman" w:hAnsiTheme="minorHAnsi" w:cstheme="minorHAnsi"/>
          <w:color w:val="auto"/>
          <w:sz w:val="22"/>
          <w:szCs w:val="22"/>
        </w:rPr>
        <w:t xml:space="preserve"> </w:t>
      </w:r>
      <w:r w:rsidRPr="00163262">
        <w:rPr>
          <w:rFonts w:asciiTheme="minorHAnsi" w:eastAsia="Times New Roman" w:hAnsiTheme="minorHAnsi" w:cstheme="minorHAnsi"/>
          <w:color w:val="auto"/>
          <w:sz w:val="22"/>
          <w:szCs w:val="22"/>
        </w:rPr>
        <w:t>to THP colleagues.</w:t>
      </w:r>
    </w:p>
    <w:p w14:paraId="511BB609" w14:textId="6A8D0482" w:rsidR="00163262" w:rsidRPr="00163262" w:rsidRDefault="00163262" w:rsidP="00EF0B2E">
      <w:pPr>
        <w:pStyle w:val="Default"/>
        <w:numPr>
          <w:ilvl w:val="0"/>
          <w:numId w:val="23"/>
        </w:numPr>
        <w:jc w:val="both"/>
        <w:rPr>
          <w:rFonts w:asciiTheme="minorHAnsi" w:eastAsia="Times New Roman" w:hAnsiTheme="minorHAnsi" w:cstheme="minorHAnsi"/>
          <w:color w:val="auto"/>
          <w:sz w:val="22"/>
          <w:szCs w:val="22"/>
        </w:rPr>
      </w:pPr>
      <w:r w:rsidRPr="00EF0B2E">
        <w:rPr>
          <w:rFonts w:asciiTheme="minorHAnsi" w:eastAsia="Times New Roman" w:hAnsiTheme="minorHAnsi" w:cstheme="minorHAnsi"/>
          <w:b/>
          <w:bCs/>
          <w:color w:val="auto"/>
          <w:sz w:val="22"/>
          <w:szCs w:val="22"/>
        </w:rPr>
        <w:t>Final baseline report</w:t>
      </w:r>
      <w:r w:rsidR="004B5F40" w:rsidRPr="00EF0B2E">
        <w:rPr>
          <w:rFonts w:asciiTheme="minorHAnsi" w:eastAsia="Times New Roman" w:hAnsiTheme="minorHAnsi" w:cstheme="minorHAnsi"/>
          <w:b/>
          <w:bCs/>
          <w:color w:val="auto"/>
          <w:sz w:val="22"/>
          <w:szCs w:val="22"/>
        </w:rPr>
        <w:t>:</w:t>
      </w:r>
      <w:r w:rsidRPr="00163262">
        <w:rPr>
          <w:rFonts w:asciiTheme="minorHAnsi" w:eastAsia="Times New Roman" w:hAnsiTheme="minorHAnsi" w:cstheme="minorHAnsi"/>
          <w:color w:val="auto"/>
          <w:sz w:val="22"/>
          <w:szCs w:val="22"/>
        </w:rPr>
        <w:t xml:space="preserve"> incorporating all feedback</w:t>
      </w:r>
      <w:r>
        <w:rPr>
          <w:rFonts w:asciiTheme="minorHAnsi" w:eastAsia="Times New Roman" w:hAnsiTheme="minorHAnsi" w:cstheme="minorHAnsi"/>
          <w:color w:val="auto"/>
          <w:sz w:val="22"/>
          <w:szCs w:val="22"/>
        </w:rPr>
        <w:t xml:space="preserve">: </w:t>
      </w:r>
      <w:r w:rsidRPr="00163262">
        <w:rPr>
          <w:rFonts w:asciiTheme="minorHAnsi" w:eastAsia="Times New Roman" w:hAnsiTheme="minorHAnsi" w:cstheme="minorHAnsi"/>
          <w:color w:val="auto"/>
          <w:sz w:val="22"/>
          <w:szCs w:val="22"/>
        </w:rPr>
        <w:t>two hard copies and one soft copy.</w:t>
      </w:r>
    </w:p>
    <w:p w14:paraId="2F2345A5" w14:textId="7C806626" w:rsidR="00163262" w:rsidRDefault="00163262" w:rsidP="00EF0B2E">
      <w:pPr>
        <w:pStyle w:val="Default"/>
        <w:numPr>
          <w:ilvl w:val="0"/>
          <w:numId w:val="23"/>
        </w:numPr>
        <w:jc w:val="both"/>
        <w:rPr>
          <w:rFonts w:asciiTheme="minorHAnsi" w:eastAsia="Times New Roman" w:hAnsiTheme="minorHAnsi" w:cstheme="minorHAnsi"/>
          <w:color w:val="auto"/>
          <w:sz w:val="22"/>
          <w:szCs w:val="22"/>
        </w:rPr>
      </w:pPr>
      <w:r w:rsidRPr="00EF0B2E">
        <w:rPr>
          <w:rFonts w:asciiTheme="minorHAnsi" w:eastAsia="Times New Roman" w:hAnsiTheme="minorHAnsi" w:cstheme="minorHAnsi"/>
          <w:b/>
          <w:bCs/>
          <w:color w:val="auto"/>
          <w:sz w:val="22"/>
          <w:szCs w:val="22"/>
        </w:rPr>
        <w:t>Practical recommendations</w:t>
      </w:r>
      <w:r w:rsidR="004B5F40" w:rsidRPr="00EF0B2E">
        <w:rPr>
          <w:rFonts w:asciiTheme="minorHAnsi" w:eastAsia="Times New Roman" w:hAnsiTheme="minorHAnsi" w:cstheme="minorHAnsi"/>
          <w:b/>
          <w:bCs/>
          <w:color w:val="auto"/>
          <w:sz w:val="22"/>
          <w:szCs w:val="22"/>
        </w:rPr>
        <w:t>:</w:t>
      </w:r>
      <w:r w:rsidRPr="00163262">
        <w:rPr>
          <w:rFonts w:asciiTheme="minorHAnsi" w:eastAsia="Times New Roman" w:hAnsiTheme="minorHAnsi" w:cstheme="minorHAnsi"/>
          <w:color w:val="auto"/>
          <w:sz w:val="22"/>
          <w:szCs w:val="22"/>
        </w:rPr>
        <w:t xml:space="preserve"> for project implementation and MEAL design based on the baseline findings.</w:t>
      </w:r>
    </w:p>
    <w:p w14:paraId="5CBC3802" w14:textId="77777777" w:rsidR="00D611AF" w:rsidRDefault="00D611AF" w:rsidP="00D611AF">
      <w:pPr>
        <w:pStyle w:val="Default"/>
        <w:ind w:left="720"/>
        <w:jc w:val="both"/>
        <w:rPr>
          <w:rFonts w:asciiTheme="minorHAnsi" w:eastAsia="Times New Roman" w:hAnsiTheme="minorHAnsi" w:cstheme="minorHAnsi"/>
          <w:color w:val="auto"/>
          <w:sz w:val="22"/>
          <w:szCs w:val="22"/>
        </w:rPr>
      </w:pPr>
    </w:p>
    <w:p w14:paraId="6A51F9FE" w14:textId="6E868443" w:rsidR="006928F5" w:rsidRPr="00D611AF" w:rsidRDefault="006928F5" w:rsidP="00D611AF">
      <w:pPr>
        <w:pStyle w:val="ListParagraph"/>
        <w:numPr>
          <w:ilvl w:val="0"/>
          <w:numId w:val="21"/>
        </w:numPr>
        <w:rPr>
          <w:b/>
          <w:bCs/>
          <w:sz w:val="22"/>
          <w:szCs w:val="24"/>
        </w:rPr>
      </w:pPr>
      <w:r w:rsidRPr="00D611AF">
        <w:rPr>
          <w:b/>
          <w:bCs/>
          <w:sz w:val="22"/>
          <w:szCs w:val="24"/>
        </w:rPr>
        <w:t>Process and tentative timeline</w:t>
      </w:r>
    </w:p>
    <w:tbl>
      <w:tblPr>
        <w:tblStyle w:val="TableGrid"/>
        <w:tblW w:w="9016" w:type="dxa"/>
        <w:tblInd w:w="344" w:type="dxa"/>
        <w:tblLook w:val="04A0" w:firstRow="1" w:lastRow="0" w:firstColumn="1" w:lastColumn="0" w:noHBand="0" w:noVBand="1"/>
      </w:tblPr>
      <w:tblGrid>
        <w:gridCol w:w="4508"/>
        <w:gridCol w:w="4508"/>
      </w:tblGrid>
      <w:tr w:rsidR="006928F5" w:rsidRPr="00ED59F7" w14:paraId="0B1D462E" w14:textId="77777777" w:rsidTr="006928F5">
        <w:tc>
          <w:tcPr>
            <w:tcW w:w="4508" w:type="dxa"/>
          </w:tcPr>
          <w:p w14:paraId="6F134ECA" w14:textId="77777777" w:rsidR="006928F5" w:rsidRPr="00ED59F7" w:rsidRDefault="006928F5" w:rsidP="00F85E39">
            <w:pPr>
              <w:rPr>
                <w:rFonts w:eastAsia="Times New Roman" w:cstheme="minorHAnsi"/>
                <w:sz w:val="22"/>
                <w:szCs w:val="22"/>
                <w:lang w:bidi="bn-IN"/>
              </w:rPr>
            </w:pPr>
            <w:r w:rsidRPr="00ED59F7">
              <w:rPr>
                <w:rFonts w:cstheme="minorHAnsi"/>
                <w:b/>
                <w:bCs/>
                <w:sz w:val="22"/>
                <w:szCs w:val="22"/>
              </w:rPr>
              <w:t>Milestones/meetings</w:t>
            </w:r>
          </w:p>
        </w:tc>
        <w:tc>
          <w:tcPr>
            <w:tcW w:w="4508" w:type="dxa"/>
          </w:tcPr>
          <w:p w14:paraId="52C282B5" w14:textId="77777777" w:rsidR="006928F5" w:rsidRPr="00ED59F7" w:rsidRDefault="006928F5" w:rsidP="00F85E39">
            <w:pPr>
              <w:rPr>
                <w:rFonts w:eastAsia="Times New Roman" w:cstheme="minorHAnsi"/>
                <w:sz w:val="22"/>
                <w:szCs w:val="22"/>
                <w:lang w:bidi="bn-IN"/>
              </w:rPr>
            </w:pPr>
            <w:r w:rsidRPr="00ED59F7">
              <w:rPr>
                <w:rFonts w:cstheme="minorHAnsi"/>
                <w:b/>
                <w:bCs/>
                <w:sz w:val="22"/>
                <w:szCs w:val="22"/>
              </w:rPr>
              <w:t>Deadline/time frame</w:t>
            </w:r>
          </w:p>
        </w:tc>
      </w:tr>
      <w:tr w:rsidR="006928F5" w:rsidRPr="00ED59F7" w14:paraId="3643AFEE" w14:textId="77777777" w:rsidTr="006928F5">
        <w:tc>
          <w:tcPr>
            <w:tcW w:w="4508" w:type="dxa"/>
          </w:tcPr>
          <w:p w14:paraId="7D19FFD0" w14:textId="77777777" w:rsidR="006928F5" w:rsidRPr="00ED59F7" w:rsidRDefault="006928F5" w:rsidP="00F85E39">
            <w:pPr>
              <w:pStyle w:val="Default"/>
              <w:rPr>
                <w:rFonts w:asciiTheme="minorHAnsi" w:hAnsiTheme="minorHAnsi" w:cstheme="minorHAnsi"/>
                <w:sz w:val="22"/>
                <w:szCs w:val="22"/>
              </w:rPr>
            </w:pPr>
            <w:r w:rsidRPr="00ED59F7">
              <w:rPr>
                <w:rFonts w:asciiTheme="minorHAnsi" w:hAnsiTheme="minorHAnsi" w:cstheme="minorHAnsi"/>
                <w:sz w:val="22"/>
                <w:szCs w:val="22"/>
              </w:rPr>
              <w:t xml:space="preserve">Call for tender to potential consultants/ firms with request for proposal </w:t>
            </w:r>
          </w:p>
        </w:tc>
        <w:tc>
          <w:tcPr>
            <w:tcW w:w="4508" w:type="dxa"/>
          </w:tcPr>
          <w:p w14:paraId="6977DC1A" w14:textId="31349690" w:rsidR="006928F5" w:rsidRPr="00ED59F7" w:rsidRDefault="00134802" w:rsidP="00F85E39">
            <w:pPr>
              <w:rPr>
                <w:rFonts w:eastAsia="Times New Roman" w:cstheme="minorHAnsi"/>
                <w:sz w:val="22"/>
                <w:szCs w:val="22"/>
                <w:lang w:bidi="bn-IN"/>
              </w:rPr>
            </w:pPr>
            <w:r w:rsidRPr="00ED59F7">
              <w:rPr>
                <w:rFonts w:eastAsia="Times New Roman" w:cstheme="minorHAnsi"/>
                <w:sz w:val="22"/>
                <w:szCs w:val="22"/>
                <w:lang w:bidi="bn-IN"/>
              </w:rPr>
              <w:t>9</w:t>
            </w:r>
            <w:r w:rsidR="006928F5" w:rsidRPr="00ED59F7">
              <w:rPr>
                <w:rFonts w:eastAsia="Times New Roman" w:cstheme="minorHAnsi"/>
                <w:sz w:val="22"/>
                <w:szCs w:val="22"/>
                <w:lang w:bidi="bn-IN"/>
              </w:rPr>
              <w:t xml:space="preserve"> J</w:t>
            </w:r>
            <w:r w:rsidR="00A7021A" w:rsidRPr="00ED59F7">
              <w:rPr>
                <w:rFonts w:eastAsia="Times New Roman" w:cstheme="minorHAnsi"/>
                <w:sz w:val="22"/>
                <w:szCs w:val="22"/>
                <w:lang w:bidi="bn-IN"/>
              </w:rPr>
              <w:t>une</w:t>
            </w:r>
            <w:r w:rsidR="006928F5" w:rsidRPr="00ED59F7">
              <w:rPr>
                <w:rFonts w:eastAsia="Times New Roman" w:cstheme="minorHAnsi"/>
                <w:sz w:val="22"/>
                <w:szCs w:val="22"/>
                <w:lang w:bidi="bn-IN"/>
              </w:rPr>
              <w:t xml:space="preserve"> 202</w:t>
            </w:r>
            <w:r w:rsidR="00A7021A" w:rsidRPr="00ED59F7">
              <w:rPr>
                <w:rFonts w:eastAsia="Times New Roman" w:cstheme="minorHAnsi"/>
                <w:sz w:val="22"/>
                <w:szCs w:val="22"/>
                <w:lang w:bidi="bn-IN"/>
              </w:rPr>
              <w:t>6</w:t>
            </w:r>
            <w:r w:rsidR="006928F5" w:rsidRPr="00ED59F7">
              <w:rPr>
                <w:rFonts w:eastAsia="Times New Roman" w:cstheme="minorHAnsi"/>
                <w:sz w:val="22"/>
                <w:szCs w:val="22"/>
                <w:lang w:bidi="bn-IN"/>
              </w:rPr>
              <w:t xml:space="preserve"> to </w:t>
            </w:r>
            <w:r w:rsidR="00A7021A" w:rsidRPr="00ED59F7">
              <w:rPr>
                <w:rFonts w:eastAsia="Times New Roman" w:cstheme="minorHAnsi"/>
                <w:sz w:val="22"/>
                <w:szCs w:val="22"/>
                <w:lang w:bidi="bn-IN"/>
              </w:rPr>
              <w:t>1</w:t>
            </w:r>
            <w:r w:rsidR="00B24DF4" w:rsidRPr="00ED59F7">
              <w:rPr>
                <w:rFonts w:eastAsia="Times New Roman" w:cstheme="minorHAnsi"/>
                <w:sz w:val="22"/>
                <w:szCs w:val="22"/>
                <w:lang w:bidi="bn-IN"/>
              </w:rPr>
              <w:t>8</w:t>
            </w:r>
            <w:r w:rsidR="006928F5" w:rsidRPr="00ED59F7">
              <w:rPr>
                <w:rFonts w:eastAsia="Times New Roman" w:cstheme="minorHAnsi"/>
                <w:sz w:val="22"/>
                <w:szCs w:val="22"/>
                <w:lang w:bidi="bn-IN"/>
              </w:rPr>
              <w:t xml:space="preserve"> </w:t>
            </w:r>
            <w:r w:rsidR="00A7021A" w:rsidRPr="00ED59F7">
              <w:rPr>
                <w:rFonts w:eastAsia="Times New Roman" w:cstheme="minorHAnsi"/>
                <w:sz w:val="22"/>
                <w:szCs w:val="22"/>
                <w:lang w:bidi="bn-IN"/>
              </w:rPr>
              <w:t>June</w:t>
            </w:r>
            <w:r w:rsidR="006928F5" w:rsidRPr="00ED59F7">
              <w:rPr>
                <w:rFonts w:eastAsia="Times New Roman" w:cstheme="minorHAnsi"/>
                <w:sz w:val="22"/>
                <w:szCs w:val="22"/>
                <w:lang w:bidi="bn-IN"/>
              </w:rPr>
              <w:t xml:space="preserve"> 202</w:t>
            </w:r>
            <w:r w:rsidR="00A7021A" w:rsidRPr="00ED59F7">
              <w:rPr>
                <w:rFonts w:eastAsia="Times New Roman" w:cstheme="minorHAnsi"/>
                <w:sz w:val="22"/>
                <w:szCs w:val="22"/>
                <w:lang w:bidi="bn-IN"/>
              </w:rPr>
              <w:t>6</w:t>
            </w:r>
          </w:p>
        </w:tc>
      </w:tr>
      <w:tr w:rsidR="006928F5" w:rsidRPr="00ED59F7" w14:paraId="28F70899" w14:textId="77777777" w:rsidTr="006928F5">
        <w:tc>
          <w:tcPr>
            <w:tcW w:w="4508" w:type="dxa"/>
          </w:tcPr>
          <w:p w14:paraId="5DC1192C" w14:textId="77777777" w:rsidR="006928F5" w:rsidRPr="00ED59F7" w:rsidRDefault="006928F5" w:rsidP="00F85E39">
            <w:pPr>
              <w:pStyle w:val="Default"/>
              <w:rPr>
                <w:rFonts w:asciiTheme="minorHAnsi" w:hAnsiTheme="minorHAnsi" w:cstheme="minorHAnsi"/>
                <w:sz w:val="22"/>
                <w:szCs w:val="22"/>
              </w:rPr>
            </w:pPr>
            <w:r w:rsidRPr="00ED59F7">
              <w:rPr>
                <w:rFonts w:asciiTheme="minorHAnsi" w:hAnsiTheme="minorHAnsi" w:cstheme="minorHAnsi"/>
                <w:sz w:val="22"/>
                <w:szCs w:val="22"/>
              </w:rPr>
              <w:t xml:space="preserve">Selection and contracting </w:t>
            </w:r>
          </w:p>
        </w:tc>
        <w:tc>
          <w:tcPr>
            <w:tcW w:w="4508" w:type="dxa"/>
          </w:tcPr>
          <w:p w14:paraId="53EF9369" w14:textId="57376F48" w:rsidR="006928F5" w:rsidRPr="00ED59F7" w:rsidRDefault="009A61A0" w:rsidP="00F85E39">
            <w:pPr>
              <w:rPr>
                <w:rFonts w:eastAsia="Times New Roman" w:cstheme="minorHAnsi"/>
                <w:sz w:val="22"/>
                <w:szCs w:val="22"/>
                <w:lang w:bidi="bn-IN"/>
              </w:rPr>
            </w:pPr>
            <w:r w:rsidRPr="00ED59F7">
              <w:rPr>
                <w:rFonts w:eastAsia="Times New Roman" w:cstheme="minorHAnsi"/>
                <w:sz w:val="22"/>
                <w:szCs w:val="22"/>
                <w:lang w:bidi="bn-IN"/>
              </w:rPr>
              <w:t>1</w:t>
            </w:r>
            <w:r w:rsidR="008D6EA2" w:rsidRPr="00ED59F7">
              <w:rPr>
                <w:rFonts w:eastAsia="Times New Roman" w:cstheme="minorHAnsi"/>
                <w:sz w:val="22"/>
                <w:szCs w:val="22"/>
                <w:lang w:bidi="bn-IN"/>
              </w:rPr>
              <w:t>9</w:t>
            </w:r>
            <w:r w:rsidR="006928F5" w:rsidRPr="00ED59F7">
              <w:rPr>
                <w:rFonts w:eastAsia="Times New Roman" w:cstheme="minorHAnsi"/>
                <w:sz w:val="22"/>
                <w:szCs w:val="22"/>
                <w:lang w:bidi="bn-IN"/>
              </w:rPr>
              <w:t xml:space="preserve"> </w:t>
            </w:r>
            <w:r w:rsidRPr="00ED59F7">
              <w:rPr>
                <w:rFonts w:eastAsia="Times New Roman" w:cstheme="minorHAnsi"/>
                <w:sz w:val="22"/>
                <w:szCs w:val="22"/>
                <w:lang w:bidi="bn-IN"/>
              </w:rPr>
              <w:t>June</w:t>
            </w:r>
            <w:r w:rsidR="006928F5" w:rsidRPr="00ED59F7">
              <w:rPr>
                <w:rFonts w:eastAsia="Times New Roman" w:cstheme="minorHAnsi"/>
                <w:sz w:val="22"/>
                <w:szCs w:val="22"/>
                <w:lang w:bidi="bn-IN"/>
              </w:rPr>
              <w:t xml:space="preserve"> to </w:t>
            </w:r>
            <w:r w:rsidRPr="00ED59F7">
              <w:rPr>
                <w:rFonts w:eastAsia="Times New Roman" w:cstheme="minorHAnsi"/>
                <w:sz w:val="22"/>
                <w:szCs w:val="22"/>
                <w:lang w:bidi="bn-IN"/>
              </w:rPr>
              <w:t>2</w:t>
            </w:r>
            <w:r w:rsidR="008D6EA2" w:rsidRPr="00ED59F7">
              <w:rPr>
                <w:rFonts w:eastAsia="Times New Roman" w:cstheme="minorHAnsi"/>
                <w:sz w:val="22"/>
                <w:szCs w:val="22"/>
                <w:lang w:bidi="bn-IN"/>
              </w:rPr>
              <w:t>3</w:t>
            </w:r>
            <w:r w:rsidR="006928F5" w:rsidRPr="00ED59F7">
              <w:rPr>
                <w:rFonts w:eastAsia="Times New Roman" w:cstheme="minorHAnsi"/>
                <w:sz w:val="22"/>
                <w:szCs w:val="22"/>
                <w:lang w:bidi="bn-IN"/>
              </w:rPr>
              <w:t xml:space="preserve"> </w:t>
            </w:r>
            <w:r w:rsidRPr="00ED59F7">
              <w:rPr>
                <w:rFonts w:eastAsia="Times New Roman" w:cstheme="minorHAnsi"/>
                <w:sz w:val="22"/>
                <w:szCs w:val="22"/>
                <w:lang w:bidi="bn-IN"/>
              </w:rPr>
              <w:t>June</w:t>
            </w:r>
            <w:r w:rsidR="006928F5" w:rsidRPr="00ED59F7">
              <w:rPr>
                <w:rFonts w:eastAsia="Times New Roman" w:cstheme="minorHAnsi"/>
                <w:sz w:val="22"/>
                <w:szCs w:val="22"/>
                <w:lang w:bidi="bn-IN"/>
              </w:rPr>
              <w:t xml:space="preserve"> 202</w:t>
            </w:r>
            <w:r w:rsidRPr="00ED59F7">
              <w:rPr>
                <w:rFonts w:eastAsia="Times New Roman" w:cstheme="minorHAnsi"/>
                <w:sz w:val="22"/>
                <w:szCs w:val="22"/>
                <w:lang w:bidi="bn-IN"/>
              </w:rPr>
              <w:t>6</w:t>
            </w:r>
          </w:p>
        </w:tc>
      </w:tr>
      <w:tr w:rsidR="006928F5" w:rsidRPr="00ED59F7" w14:paraId="6B8D9BF3" w14:textId="77777777" w:rsidTr="006928F5">
        <w:tc>
          <w:tcPr>
            <w:tcW w:w="4508" w:type="dxa"/>
          </w:tcPr>
          <w:p w14:paraId="2811AD2D" w14:textId="77777777" w:rsidR="006928F5" w:rsidRPr="00ED59F7" w:rsidRDefault="006928F5" w:rsidP="00F85E39">
            <w:pPr>
              <w:pStyle w:val="Default"/>
              <w:rPr>
                <w:rFonts w:asciiTheme="minorHAnsi" w:hAnsiTheme="minorHAnsi" w:cstheme="minorHAnsi"/>
                <w:sz w:val="22"/>
                <w:szCs w:val="22"/>
              </w:rPr>
            </w:pPr>
            <w:r w:rsidRPr="00ED59F7">
              <w:rPr>
                <w:rFonts w:asciiTheme="minorHAnsi" w:hAnsiTheme="minorHAnsi" w:cstheme="minorHAnsi"/>
                <w:sz w:val="22"/>
                <w:szCs w:val="22"/>
              </w:rPr>
              <w:t xml:space="preserve">Start of consultancy </w:t>
            </w:r>
          </w:p>
        </w:tc>
        <w:tc>
          <w:tcPr>
            <w:tcW w:w="4508" w:type="dxa"/>
          </w:tcPr>
          <w:p w14:paraId="492D57C9" w14:textId="1E9E90D4" w:rsidR="006928F5" w:rsidRPr="00ED59F7" w:rsidRDefault="006928F5" w:rsidP="00F85E39">
            <w:pPr>
              <w:rPr>
                <w:rFonts w:eastAsia="Times New Roman" w:cstheme="minorHAnsi"/>
                <w:sz w:val="22"/>
                <w:szCs w:val="22"/>
                <w:lang w:bidi="bn-IN"/>
              </w:rPr>
            </w:pPr>
            <w:r w:rsidRPr="00ED59F7">
              <w:rPr>
                <w:rFonts w:eastAsia="Times New Roman" w:cstheme="minorHAnsi"/>
                <w:sz w:val="22"/>
                <w:szCs w:val="22"/>
                <w:lang w:bidi="bn-IN"/>
              </w:rPr>
              <w:t>2</w:t>
            </w:r>
            <w:r w:rsidR="00B00C0E" w:rsidRPr="00ED59F7">
              <w:rPr>
                <w:rFonts w:eastAsia="Times New Roman" w:cstheme="minorHAnsi"/>
                <w:sz w:val="22"/>
                <w:szCs w:val="22"/>
                <w:lang w:bidi="bn-IN"/>
              </w:rPr>
              <w:t>7</w:t>
            </w:r>
            <w:r w:rsidRPr="00ED59F7">
              <w:rPr>
                <w:rFonts w:eastAsia="Times New Roman" w:cstheme="minorHAnsi"/>
                <w:sz w:val="22"/>
                <w:szCs w:val="22"/>
                <w:lang w:bidi="bn-IN"/>
              </w:rPr>
              <w:t xml:space="preserve"> </w:t>
            </w:r>
            <w:r w:rsidR="009A61A0" w:rsidRPr="00ED59F7">
              <w:rPr>
                <w:rFonts w:eastAsia="Times New Roman" w:cstheme="minorHAnsi"/>
                <w:sz w:val="22"/>
                <w:szCs w:val="22"/>
                <w:lang w:bidi="bn-IN"/>
              </w:rPr>
              <w:t>June</w:t>
            </w:r>
            <w:r w:rsidRPr="00ED59F7">
              <w:rPr>
                <w:rFonts w:eastAsia="Times New Roman" w:cstheme="minorHAnsi"/>
                <w:sz w:val="22"/>
                <w:szCs w:val="22"/>
                <w:lang w:bidi="bn-IN"/>
              </w:rPr>
              <w:t xml:space="preserve"> 202</w:t>
            </w:r>
            <w:r w:rsidR="009A61A0" w:rsidRPr="00ED59F7">
              <w:rPr>
                <w:rFonts w:eastAsia="Times New Roman" w:cstheme="minorHAnsi"/>
                <w:sz w:val="22"/>
                <w:szCs w:val="22"/>
                <w:lang w:bidi="bn-IN"/>
              </w:rPr>
              <w:t>6</w:t>
            </w:r>
          </w:p>
        </w:tc>
      </w:tr>
      <w:tr w:rsidR="006928F5" w:rsidRPr="00ED59F7" w14:paraId="1E00948A" w14:textId="77777777" w:rsidTr="006928F5">
        <w:tc>
          <w:tcPr>
            <w:tcW w:w="4508" w:type="dxa"/>
          </w:tcPr>
          <w:p w14:paraId="32A4A2A1" w14:textId="77777777" w:rsidR="006928F5" w:rsidRPr="00ED59F7" w:rsidRDefault="006928F5" w:rsidP="00F85E39">
            <w:pPr>
              <w:pStyle w:val="Default"/>
              <w:rPr>
                <w:rFonts w:asciiTheme="minorHAnsi" w:eastAsia="Times New Roman" w:hAnsiTheme="minorHAnsi" w:cstheme="minorHAnsi"/>
                <w:sz w:val="22"/>
                <w:szCs w:val="22"/>
                <w:lang w:bidi="bn-IN"/>
              </w:rPr>
            </w:pPr>
            <w:r w:rsidRPr="00ED59F7">
              <w:rPr>
                <w:rFonts w:asciiTheme="minorHAnsi" w:hAnsiTheme="minorHAnsi" w:cstheme="minorHAnsi"/>
                <w:sz w:val="22"/>
                <w:szCs w:val="22"/>
              </w:rPr>
              <w:t xml:space="preserve">Kick-off (clarifying open questions, confirming suggested work plan) </w:t>
            </w:r>
          </w:p>
        </w:tc>
        <w:tc>
          <w:tcPr>
            <w:tcW w:w="4508" w:type="dxa"/>
          </w:tcPr>
          <w:p w14:paraId="70FFBCF2" w14:textId="0B3DC2FF" w:rsidR="006928F5" w:rsidRPr="00ED59F7" w:rsidRDefault="006928F5" w:rsidP="00F85E39">
            <w:pPr>
              <w:rPr>
                <w:rFonts w:eastAsia="Times New Roman" w:cstheme="minorHAnsi"/>
                <w:sz w:val="22"/>
                <w:szCs w:val="22"/>
                <w:lang w:bidi="bn-IN"/>
              </w:rPr>
            </w:pPr>
            <w:r w:rsidRPr="00ED59F7">
              <w:rPr>
                <w:rFonts w:eastAsia="Times New Roman" w:cstheme="minorHAnsi"/>
                <w:sz w:val="22"/>
                <w:szCs w:val="22"/>
                <w:lang w:bidi="bn-IN"/>
              </w:rPr>
              <w:t>2</w:t>
            </w:r>
            <w:r w:rsidR="007D2C41" w:rsidRPr="00ED59F7">
              <w:rPr>
                <w:rFonts w:eastAsia="Times New Roman" w:cstheme="minorHAnsi"/>
                <w:sz w:val="22"/>
                <w:szCs w:val="22"/>
                <w:lang w:bidi="bn-IN"/>
              </w:rPr>
              <w:t>8 June</w:t>
            </w:r>
            <w:r w:rsidRPr="00ED59F7">
              <w:rPr>
                <w:rFonts w:eastAsia="Times New Roman" w:cstheme="minorHAnsi"/>
                <w:sz w:val="22"/>
                <w:szCs w:val="22"/>
                <w:lang w:bidi="bn-IN"/>
              </w:rPr>
              <w:t xml:space="preserve"> 202</w:t>
            </w:r>
            <w:r w:rsidR="00CB7E96" w:rsidRPr="00ED59F7">
              <w:rPr>
                <w:rFonts w:eastAsia="Times New Roman" w:cstheme="minorHAnsi"/>
                <w:sz w:val="22"/>
                <w:szCs w:val="22"/>
                <w:lang w:bidi="bn-IN"/>
              </w:rPr>
              <w:t>6</w:t>
            </w:r>
          </w:p>
        </w:tc>
      </w:tr>
      <w:tr w:rsidR="006928F5" w:rsidRPr="00ED59F7" w14:paraId="49304C5E" w14:textId="77777777" w:rsidTr="006928F5">
        <w:tc>
          <w:tcPr>
            <w:tcW w:w="4508" w:type="dxa"/>
          </w:tcPr>
          <w:p w14:paraId="174F3918" w14:textId="77777777" w:rsidR="006928F5" w:rsidRPr="00ED59F7" w:rsidRDefault="006928F5" w:rsidP="00F85E39">
            <w:pPr>
              <w:pStyle w:val="Default"/>
              <w:rPr>
                <w:rFonts w:asciiTheme="minorHAnsi" w:hAnsiTheme="minorHAnsi" w:cstheme="minorHAnsi"/>
                <w:sz w:val="22"/>
                <w:szCs w:val="22"/>
              </w:rPr>
            </w:pPr>
            <w:r w:rsidRPr="00ED59F7">
              <w:rPr>
                <w:rFonts w:asciiTheme="minorHAnsi" w:hAnsiTheme="minorHAnsi" w:cstheme="minorHAnsi"/>
                <w:sz w:val="22"/>
                <w:szCs w:val="22"/>
              </w:rPr>
              <w:t xml:space="preserve">Preparation of the study incl. desk study preparation of the report </w:t>
            </w:r>
          </w:p>
          <w:p w14:paraId="554E01B8" w14:textId="77777777" w:rsidR="006928F5" w:rsidRPr="00ED59F7" w:rsidRDefault="006928F5" w:rsidP="00F85E39">
            <w:pPr>
              <w:pStyle w:val="Default"/>
              <w:rPr>
                <w:rFonts w:asciiTheme="minorHAnsi" w:hAnsiTheme="minorHAnsi" w:cstheme="minorHAnsi"/>
                <w:sz w:val="22"/>
                <w:szCs w:val="22"/>
              </w:rPr>
            </w:pPr>
            <w:r w:rsidRPr="00ED59F7">
              <w:rPr>
                <w:rFonts w:asciiTheme="minorHAnsi" w:hAnsiTheme="minorHAnsi" w:cstheme="minorHAnsi"/>
                <w:sz w:val="22"/>
                <w:szCs w:val="22"/>
              </w:rPr>
              <w:t xml:space="preserve">annotated outline and design of interview questionnaire  </w:t>
            </w:r>
          </w:p>
        </w:tc>
        <w:tc>
          <w:tcPr>
            <w:tcW w:w="4508" w:type="dxa"/>
          </w:tcPr>
          <w:p w14:paraId="2CA4CBEF" w14:textId="1FEBEFAE" w:rsidR="006928F5" w:rsidRPr="00ED59F7" w:rsidRDefault="006928F5" w:rsidP="00F85E39">
            <w:pPr>
              <w:rPr>
                <w:rFonts w:eastAsia="Times New Roman" w:cstheme="minorHAnsi"/>
                <w:sz w:val="22"/>
                <w:szCs w:val="22"/>
                <w:lang w:bidi="bn-IN"/>
              </w:rPr>
            </w:pPr>
            <w:r w:rsidRPr="00ED59F7">
              <w:rPr>
                <w:rFonts w:eastAsia="Times New Roman" w:cstheme="minorHAnsi"/>
                <w:sz w:val="22"/>
                <w:szCs w:val="22"/>
                <w:lang w:bidi="bn-IN"/>
              </w:rPr>
              <w:t>2</w:t>
            </w:r>
            <w:r w:rsidR="007D2C41" w:rsidRPr="00ED59F7">
              <w:rPr>
                <w:rFonts w:eastAsia="Times New Roman" w:cstheme="minorHAnsi"/>
                <w:sz w:val="22"/>
                <w:szCs w:val="22"/>
                <w:lang w:bidi="bn-IN"/>
              </w:rPr>
              <w:t>9</w:t>
            </w:r>
            <w:r w:rsidRPr="00ED59F7">
              <w:rPr>
                <w:rFonts w:eastAsia="Times New Roman" w:cstheme="minorHAnsi"/>
                <w:sz w:val="22"/>
                <w:szCs w:val="22"/>
                <w:lang w:bidi="bn-IN"/>
              </w:rPr>
              <w:t xml:space="preserve"> </w:t>
            </w:r>
            <w:r w:rsidR="007D2C41" w:rsidRPr="00ED59F7">
              <w:rPr>
                <w:rFonts w:eastAsia="Times New Roman" w:cstheme="minorHAnsi"/>
                <w:sz w:val="22"/>
                <w:szCs w:val="22"/>
                <w:lang w:bidi="bn-IN"/>
              </w:rPr>
              <w:t>June</w:t>
            </w:r>
            <w:r w:rsidRPr="00ED59F7">
              <w:rPr>
                <w:rFonts w:eastAsia="Times New Roman" w:cstheme="minorHAnsi"/>
                <w:sz w:val="22"/>
                <w:szCs w:val="22"/>
                <w:lang w:bidi="bn-IN"/>
              </w:rPr>
              <w:t xml:space="preserve"> to </w:t>
            </w:r>
            <w:r w:rsidR="00B00C0E" w:rsidRPr="00ED59F7">
              <w:rPr>
                <w:rFonts w:eastAsia="Times New Roman" w:cstheme="minorHAnsi"/>
                <w:sz w:val="22"/>
                <w:szCs w:val="22"/>
                <w:lang w:bidi="bn-IN"/>
              </w:rPr>
              <w:t>5</w:t>
            </w:r>
            <w:r w:rsidRPr="00ED59F7">
              <w:rPr>
                <w:rFonts w:eastAsia="Times New Roman" w:cstheme="minorHAnsi"/>
                <w:sz w:val="22"/>
                <w:szCs w:val="22"/>
                <w:lang w:bidi="bn-IN"/>
              </w:rPr>
              <w:t xml:space="preserve"> </w:t>
            </w:r>
            <w:r w:rsidR="007D2C41" w:rsidRPr="00ED59F7">
              <w:rPr>
                <w:rFonts w:eastAsia="Times New Roman" w:cstheme="minorHAnsi"/>
                <w:sz w:val="22"/>
                <w:szCs w:val="22"/>
                <w:lang w:bidi="bn-IN"/>
              </w:rPr>
              <w:t>July</w:t>
            </w:r>
            <w:r w:rsidRPr="00ED59F7">
              <w:rPr>
                <w:rFonts w:eastAsia="Times New Roman" w:cstheme="minorHAnsi"/>
                <w:sz w:val="22"/>
                <w:szCs w:val="22"/>
                <w:lang w:bidi="bn-IN"/>
              </w:rPr>
              <w:t xml:space="preserve"> 202</w:t>
            </w:r>
            <w:r w:rsidR="007D2C41" w:rsidRPr="00ED59F7">
              <w:rPr>
                <w:rFonts w:eastAsia="Times New Roman" w:cstheme="minorHAnsi"/>
                <w:sz w:val="22"/>
                <w:szCs w:val="22"/>
                <w:lang w:bidi="bn-IN"/>
              </w:rPr>
              <w:t>6</w:t>
            </w:r>
          </w:p>
        </w:tc>
      </w:tr>
      <w:tr w:rsidR="006928F5" w:rsidRPr="00ED59F7" w14:paraId="1C3B9CA4" w14:textId="77777777" w:rsidTr="006928F5">
        <w:tc>
          <w:tcPr>
            <w:tcW w:w="4508" w:type="dxa"/>
          </w:tcPr>
          <w:p w14:paraId="5CEE82FF" w14:textId="77777777" w:rsidR="006928F5" w:rsidRPr="00ED59F7" w:rsidRDefault="006928F5" w:rsidP="00F85E39">
            <w:pPr>
              <w:pStyle w:val="Default"/>
              <w:rPr>
                <w:rFonts w:asciiTheme="minorHAnsi" w:hAnsiTheme="minorHAnsi" w:cstheme="minorHAnsi"/>
                <w:sz w:val="22"/>
                <w:szCs w:val="22"/>
              </w:rPr>
            </w:pPr>
            <w:r w:rsidRPr="00ED59F7">
              <w:rPr>
                <w:rFonts w:asciiTheme="minorHAnsi" w:hAnsiTheme="minorHAnsi" w:cstheme="minorHAnsi"/>
                <w:sz w:val="22"/>
                <w:szCs w:val="22"/>
              </w:rPr>
              <w:t>Field Study interviews &amp; focus group discussions &amp; data collection</w:t>
            </w:r>
          </w:p>
        </w:tc>
        <w:tc>
          <w:tcPr>
            <w:tcW w:w="4508" w:type="dxa"/>
          </w:tcPr>
          <w:p w14:paraId="45244A1A" w14:textId="28E46E0B" w:rsidR="006928F5" w:rsidRPr="00ED59F7" w:rsidRDefault="00451300" w:rsidP="00F85E39">
            <w:pPr>
              <w:rPr>
                <w:rFonts w:eastAsia="Times New Roman" w:cstheme="minorHAnsi"/>
                <w:sz w:val="22"/>
                <w:szCs w:val="22"/>
                <w:lang w:bidi="bn-IN"/>
              </w:rPr>
            </w:pPr>
            <w:r w:rsidRPr="00ED59F7">
              <w:rPr>
                <w:rFonts w:eastAsia="Times New Roman" w:cstheme="minorHAnsi"/>
                <w:sz w:val="22"/>
                <w:szCs w:val="22"/>
                <w:lang w:bidi="bn-IN"/>
              </w:rPr>
              <w:t>6</w:t>
            </w:r>
            <w:r w:rsidR="00E3412C" w:rsidRPr="00ED59F7">
              <w:rPr>
                <w:rFonts w:eastAsia="Times New Roman" w:cstheme="minorHAnsi"/>
                <w:sz w:val="22"/>
                <w:szCs w:val="22"/>
                <w:lang w:bidi="bn-IN"/>
              </w:rPr>
              <w:t xml:space="preserve"> July</w:t>
            </w:r>
            <w:r w:rsidR="006928F5" w:rsidRPr="00ED59F7">
              <w:rPr>
                <w:rFonts w:eastAsia="Times New Roman" w:cstheme="minorHAnsi"/>
                <w:sz w:val="22"/>
                <w:szCs w:val="22"/>
                <w:lang w:bidi="bn-IN"/>
              </w:rPr>
              <w:t xml:space="preserve"> to 1</w:t>
            </w:r>
            <w:r w:rsidRPr="00ED59F7">
              <w:rPr>
                <w:rFonts w:eastAsia="Times New Roman" w:cstheme="minorHAnsi"/>
                <w:sz w:val="22"/>
                <w:szCs w:val="22"/>
                <w:lang w:bidi="bn-IN"/>
              </w:rPr>
              <w:t>9</w:t>
            </w:r>
            <w:r w:rsidR="006928F5" w:rsidRPr="00ED59F7">
              <w:rPr>
                <w:rFonts w:eastAsia="Times New Roman" w:cstheme="minorHAnsi"/>
                <w:sz w:val="22"/>
                <w:szCs w:val="22"/>
                <w:lang w:bidi="bn-IN"/>
              </w:rPr>
              <w:t xml:space="preserve"> </w:t>
            </w:r>
            <w:r w:rsidR="00E3412C" w:rsidRPr="00ED59F7">
              <w:rPr>
                <w:rFonts w:eastAsia="Times New Roman" w:cstheme="minorHAnsi"/>
                <w:sz w:val="22"/>
                <w:szCs w:val="22"/>
                <w:lang w:bidi="bn-IN"/>
              </w:rPr>
              <w:t>July</w:t>
            </w:r>
            <w:r w:rsidR="006928F5" w:rsidRPr="00ED59F7">
              <w:rPr>
                <w:rFonts w:eastAsia="Times New Roman" w:cstheme="minorHAnsi"/>
                <w:sz w:val="22"/>
                <w:szCs w:val="22"/>
                <w:lang w:bidi="bn-IN"/>
              </w:rPr>
              <w:t xml:space="preserve"> 202</w:t>
            </w:r>
            <w:r w:rsidR="00E3412C" w:rsidRPr="00ED59F7">
              <w:rPr>
                <w:rFonts w:eastAsia="Times New Roman" w:cstheme="minorHAnsi"/>
                <w:sz w:val="22"/>
                <w:szCs w:val="22"/>
                <w:lang w:bidi="bn-IN"/>
              </w:rPr>
              <w:t>6</w:t>
            </w:r>
          </w:p>
        </w:tc>
      </w:tr>
      <w:tr w:rsidR="006928F5" w:rsidRPr="00ED59F7" w14:paraId="0807FD75" w14:textId="77777777" w:rsidTr="006928F5">
        <w:tc>
          <w:tcPr>
            <w:tcW w:w="4508" w:type="dxa"/>
          </w:tcPr>
          <w:p w14:paraId="35F50736" w14:textId="77777777" w:rsidR="006928F5" w:rsidRPr="00ED59F7" w:rsidRDefault="006928F5" w:rsidP="00F85E39">
            <w:pPr>
              <w:pStyle w:val="Default"/>
              <w:rPr>
                <w:rFonts w:asciiTheme="minorHAnsi" w:hAnsiTheme="minorHAnsi" w:cstheme="minorHAnsi"/>
                <w:sz w:val="22"/>
                <w:szCs w:val="22"/>
              </w:rPr>
            </w:pPr>
            <w:r w:rsidRPr="00ED59F7">
              <w:rPr>
                <w:rFonts w:asciiTheme="minorHAnsi" w:hAnsiTheme="minorHAnsi" w:cstheme="minorHAnsi"/>
                <w:sz w:val="22"/>
                <w:szCs w:val="22"/>
              </w:rPr>
              <w:lastRenderedPageBreak/>
              <w:t xml:space="preserve">Short progress report and status share in the meeting </w:t>
            </w:r>
          </w:p>
        </w:tc>
        <w:tc>
          <w:tcPr>
            <w:tcW w:w="4508" w:type="dxa"/>
          </w:tcPr>
          <w:p w14:paraId="14226EF9" w14:textId="177BC46A" w:rsidR="006928F5" w:rsidRPr="00ED59F7" w:rsidRDefault="0008790D" w:rsidP="00F85E39">
            <w:pPr>
              <w:rPr>
                <w:rFonts w:eastAsia="Times New Roman" w:cstheme="minorHAnsi"/>
                <w:sz w:val="22"/>
                <w:szCs w:val="22"/>
                <w:lang w:bidi="bn-IN"/>
              </w:rPr>
            </w:pPr>
            <w:r w:rsidRPr="00ED59F7">
              <w:rPr>
                <w:rFonts w:eastAsia="Times New Roman" w:cstheme="minorHAnsi"/>
                <w:sz w:val="22"/>
                <w:szCs w:val="22"/>
                <w:lang w:bidi="bn-IN"/>
              </w:rPr>
              <w:t>23</w:t>
            </w:r>
            <w:r w:rsidR="006928F5" w:rsidRPr="00ED59F7">
              <w:rPr>
                <w:rFonts w:eastAsia="Times New Roman" w:cstheme="minorHAnsi"/>
                <w:sz w:val="22"/>
                <w:szCs w:val="22"/>
                <w:lang w:bidi="bn-IN"/>
              </w:rPr>
              <w:t xml:space="preserve"> </w:t>
            </w:r>
            <w:r w:rsidR="00A412AC" w:rsidRPr="00ED59F7">
              <w:rPr>
                <w:rFonts w:eastAsia="Times New Roman" w:cstheme="minorHAnsi"/>
                <w:sz w:val="22"/>
                <w:szCs w:val="22"/>
                <w:lang w:bidi="bn-IN"/>
              </w:rPr>
              <w:t>July</w:t>
            </w:r>
            <w:r w:rsidR="006928F5" w:rsidRPr="00ED59F7">
              <w:rPr>
                <w:rFonts w:eastAsia="Times New Roman" w:cstheme="minorHAnsi"/>
                <w:sz w:val="22"/>
                <w:szCs w:val="22"/>
                <w:lang w:bidi="bn-IN"/>
              </w:rPr>
              <w:t xml:space="preserve"> 202</w:t>
            </w:r>
            <w:r w:rsidR="00A412AC" w:rsidRPr="00ED59F7">
              <w:rPr>
                <w:rFonts w:eastAsia="Times New Roman" w:cstheme="minorHAnsi"/>
                <w:sz w:val="22"/>
                <w:szCs w:val="22"/>
                <w:lang w:bidi="bn-IN"/>
              </w:rPr>
              <w:t>6</w:t>
            </w:r>
          </w:p>
        </w:tc>
      </w:tr>
      <w:tr w:rsidR="006928F5" w:rsidRPr="00ED59F7" w14:paraId="08978ECD" w14:textId="77777777" w:rsidTr="006928F5">
        <w:tc>
          <w:tcPr>
            <w:tcW w:w="4508" w:type="dxa"/>
          </w:tcPr>
          <w:p w14:paraId="3593316B" w14:textId="23E7C516" w:rsidR="006928F5" w:rsidRPr="00ED59F7" w:rsidRDefault="006928F5" w:rsidP="00F85E39">
            <w:pPr>
              <w:pStyle w:val="Default"/>
              <w:rPr>
                <w:rFonts w:asciiTheme="minorHAnsi" w:hAnsiTheme="minorHAnsi" w:cstheme="minorHAnsi"/>
                <w:sz w:val="22"/>
                <w:szCs w:val="22"/>
              </w:rPr>
            </w:pPr>
            <w:r w:rsidRPr="00ED59F7">
              <w:rPr>
                <w:rFonts w:asciiTheme="minorHAnsi" w:hAnsiTheme="minorHAnsi" w:cstheme="minorHAnsi"/>
                <w:sz w:val="22"/>
                <w:szCs w:val="22"/>
              </w:rPr>
              <w:t xml:space="preserve">Submission of first </w:t>
            </w:r>
            <w:r w:rsidR="005326B6" w:rsidRPr="00ED59F7">
              <w:rPr>
                <w:rFonts w:asciiTheme="minorHAnsi" w:hAnsiTheme="minorHAnsi" w:cstheme="minorHAnsi"/>
                <w:sz w:val="22"/>
                <w:szCs w:val="22"/>
              </w:rPr>
              <w:t>d</w:t>
            </w:r>
            <w:r w:rsidRPr="00ED59F7">
              <w:rPr>
                <w:rFonts w:asciiTheme="minorHAnsi" w:hAnsiTheme="minorHAnsi" w:cstheme="minorHAnsi"/>
                <w:sz w:val="22"/>
                <w:szCs w:val="22"/>
              </w:rPr>
              <w:t xml:space="preserve">raft </w:t>
            </w:r>
            <w:r w:rsidR="005326B6" w:rsidRPr="00ED59F7">
              <w:rPr>
                <w:rFonts w:asciiTheme="minorHAnsi" w:hAnsiTheme="minorHAnsi" w:cstheme="minorHAnsi"/>
                <w:sz w:val="22"/>
                <w:szCs w:val="22"/>
              </w:rPr>
              <w:t xml:space="preserve">baseline </w:t>
            </w:r>
            <w:r w:rsidRPr="00ED59F7">
              <w:rPr>
                <w:rFonts w:asciiTheme="minorHAnsi" w:hAnsiTheme="minorHAnsi" w:cstheme="minorHAnsi"/>
                <w:sz w:val="22"/>
                <w:szCs w:val="22"/>
              </w:rPr>
              <w:t>report (including preliminary findings and emerging recommendations) and discussion with THP Bangladesh</w:t>
            </w:r>
          </w:p>
        </w:tc>
        <w:tc>
          <w:tcPr>
            <w:tcW w:w="4508" w:type="dxa"/>
          </w:tcPr>
          <w:p w14:paraId="6ADBAD63" w14:textId="406525EE" w:rsidR="006928F5" w:rsidRPr="00ED59F7" w:rsidRDefault="00A412AC" w:rsidP="00F85E39">
            <w:pPr>
              <w:rPr>
                <w:rFonts w:eastAsia="Times New Roman" w:cstheme="minorHAnsi"/>
                <w:sz w:val="22"/>
                <w:szCs w:val="22"/>
                <w:lang w:bidi="bn-IN"/>
              </w:rPr>
            </w:pPr>
            <w:r w:rsidRPr="00ED59F7">
              <w:rPr>
                <w:rFonts w:eastAsia="Times New Roman" w:cstheme="minorHAnsi"/>
                <w:sz w:val="22"/>
                <w:szCs w:val="22"/>
                <w:lang w:bidi="bn-IN"/>
              </w:rPr>
              <w:t>2</w:t>
            </w:r>
            <w:r w:rsidR="00EB4495" w:rsidRPr="00ED59F7">
              <w:rPr>
                <w:rFonts w:eastAsia="Times New Roman" w:cstheme="minorHAnsi"/>
                <w:sz w:val="22"/>
                <w:szCs w:val="22"/>
                <w:lang w:bidi="bn-IN"/>
              </w:rPr>
              <w:t>5</w:t>
            </w:r>
            <w:r w:rsidR="006928F5" w:rsidRPr="00ED59F7">
              <w:rPr>
                <w:rFonts w:eastAsia="Times New Roman" w:cstheme="minorHAnsi"/>
                <w:sz w:val="22"/>
                <w:szCs w:val="22"/>
                <w:lang w:bidi="bn-IN"/>
              </w:rPr>
              <w:t xml:space="preserve"> </w:t>
            </w:r>
            <w:r w:rsidRPr="00ED59F7">
              <w:rPr>
                <w:rFonts w:eastAsia="Times New Roman" w:cstheme="minorHAnsi"/>
                <w:sz w:val="22"/>
                <w:szCs w:val="22"/>
                <w:lang w:bidi="bn-IN"/>
              </w:rPr>
              <w:t>July</w:t>
            </w:r>
            <w:r w:rsidR="006928F5" w:rsidRPr="00ED59F7">
              <w:rPr>
                <w:rFonts w:eastAsia="Times New Roman" w:cstheme="minorHAnsi"/>
                <w:sz w:val="22"/>
                <w:szCs w:val="22"/>
                <w:lang w:bidi="bn-IN"/>
              </w:rPr>
              <w:t xml:space="preserve"> 202</w:t>
            </w:r>
            <w:r w:rsidR="00CB7E96" w:rsidRPr="00ED59F7">
              <w:rPr>
                <w:rFonts w:eastAsia="Times New Roman" w:cstheme="minorHAnsi"/>
                <w:sz w:val="22"/>
                <w:szCs w:val="22"/>
                <w:lang w:bidi="bn-IN"/>
              </w:rPr>
              <w:t>6</w:t>
            </w:r>
          </w:p>
        </w:tc>
      </w:tr>
      <w:tr w:rsidR="006928F5" w14:paraId="43ED51BC" w14:textId="77777777" w:rsidTr="006928F5">
        <w:tc>
          <w:tcPr>
            <w:tcW w:w="4508" w:type="dxa"/>
          </w:tcPr>
          <w:p w14:paraId="394E0E3D" w14:textId="6CDB7967" w:rsidR="006928F5" w:rsidRPr="00ED59F7" w:rsidRDefault="006928F5" w:rsidP="00F85E39">
            <w:pPr>
              <w:pStyle w:val="Default"/>
              <w:rPr>
                <w:rFonts w:asciiTheme="minorHAnsi" w:hAnsiTheme="minorHAnsi" w:cstheme="minorHAnsi"/>
                <w:sz w:val="22"/>
                <w:szCs w:val="22"/>
              </w:rPr>
            </w:pPr>
            <w:r w:rsidRPr="00ED59F7">
              <w:rPr>
                <w:rFonts w:asciiTheme="minorHAnsi" w:hAnsiTheme="minorHAnsi" w:cstheme="minorHAnsi"/>
                <w:sz w:val="22"/>
                <w:szCs w:val="22"/>
              </w:rPr>
              <w:t xml:space="preserve">Submission of final </w:t>
            </w:r>
            <w:r w:rsidR="00A412AC" w:rsidRPr="00ED59F7">
              <w:rPr>
                <w:rFonts w:asciiTheme="minorHAnsi" w:hAnsiTheme="minorHAnsi" w:cstheme="minorHAnsi"/>
                <w:sz w:val="22"/>
                <w:szCs w:val="22"/>
              </w:rPr>
              <w:t xml:space="preserve">baseline </w:t>
            </w:r>
            <w:r w:rsidRPr="00ED59F7">
              <w:rPr>
                <w:rFonts w:asciiTheme="minorHAnsi" w:hAnsiTheme="minorHAnsi" w:cstheme="minorHAnsi"/>
                <w:sz w:val="22"/>
                <w:szCs w:val="22"/>
              </w:rPr>
              <w:t xml:space="preserve">report </w:t>
            </w:r>
          </w:p>
        </w:tc>
        <w:tc>
          <w:tcPr>
            <w:tcW w:w="4508" w:type="dxa"/>
          </w:tcPr>
          <w:p w14:paraId="028503BE" w14:textId="08DA49A6" w:rsidR="006928F5" w:rsidRPr="008914B4" w:rsidRDefault="00EB4495" w:rsidP="00F85E39">
            <w:pPr>
              <w:rPr>
                <w:rFonts w:eastAsia="Times New Roman" w:cstheme="minorHAnsi"/>
                <w:sz w:val="22"/>
                <w:szCs w:val="22"/>
                <w:lang w:bidi="bn-IN"/>
              </w:rPr>
            </w:pPr>
            <w:r w:rsidRPr="00ED59F7">
              <w:rPr>
                <w:rFonts w:eastAsia="Times New Roman" w:cstheme="minorHAnsi"/>
                <w:sz w:val="22"/>
                <w:szCs w:val="22"/>
                <w:lang w:bidi="bn-IN"/>
              </w:rPr>
              <w:t>30</w:t>
            </w:r>
            <w:r w:rsidR="006928F5" w:rsidRPr="00ED59F7">
              <w:rPr>
                <w:rFonts w:eastAsia="Times New Roman" w:cstheme="minorHAnsi"/>
                <w:sz w:val="22"/>
                <w:szCs w:val="22"/>
                <w:lang w:bidi="bn-IN"/>
              </w:rPr>
              <w:t xml:space="preserve"> </w:t>
            </w:r>
            <w:r w:rsidR="00A412AC" w:rsidRPr="00ED59F7">
              <w:rPr>
                <w:rFonts w:eastAsia="Times New Roman" w:cstheme="minorHAnsi"/>
                <w:sz w:val="22"/>
                <w:szCs w:val="22"/>
                <w:lang w:bidi="bn-IN"/>
              </w:rPr>
              <w:t>July</w:t>
            </w:r>
            <w:r w:rsidR="006928F5" w:rsidRPr="00ED59F7">
              <w:rPr>
                <w:rFonts w:eastAsia="Times New Roman" w:cstheme="minorHAnsi"/>
                <w:sz w:val="22"/>
                <w:szCs w:val="22"/>
                <w:lang w:bidi="bn-IN"/>
              </w:rPr>
              <w:t xml:space="preserve"> 202</w:t>
            </w:r>
            <w:r w:rsidR="00A412AC" w:rsidRPr="00ED59F7">
              <w:rPr>
                <w:rFonts w:eastAsia="Times New Roman" w:cstheme="minorHAnsi"/>
                <w:sz w:val="22"/>
                <w:szCs w:val="22"/>
                <w:lang w:bidi="bn-IN"/>
              </w:rPr>
              <w:t>6</w:t>
            </w:r>
          </w:p>
        </w:tc>
      </w:tr>
    </w:tbl>
    <w:p w14:paraId="38A2F011" w14:textId="14A2684A" w:rsidR="009C5A25" w:rsidRPr="008155C9" w:rsidRDefault="009C5A25" w:rsidP="006928F5">
      <w:pPr>
        <w:pStyle w:val="Default"/>
        <w:ind w:left="810"/>
        <w:jc w:val="both"/>
        <w:rPr>
          <w:rFonts w:asciiTheme="minorHAnsi" w:hAnsiTheme="minorHAnsi" w:cstheme="minorHAnsi"/>
          <w:sz w:val="22"/>
          <w:szCs w:val="22"/>
        </w:rPr>
      </w:pPr>
    </w:p>
    <w:p w14:paraId="135A8F08" w14:textId="51E39545" w:rsidR="00EC3ED5" w:rsidRPr="00C91B1C" w:rsidRDefault="00EC3ED5" w:rsidP="00C91B1C">
      <w:pPr>
        <w:pStyle w:val="ListParagraph"/>
        <w:numPr>
          <w:ilvl w:val="0"/>
          <w:numId w:val="21"/>
        </w:numPr>
        <w:spacing w:after="0" w:line="240" w:lineRule="auto"/>
        <w:rPr>
          <w:rFonts w:cstheme="minorHAnsi"/>
          <w:b/>
          <w:bCs/>
          <w:sz w:val="22"/>
          <w:szCs w:val="22"/>
        </w:rPr>
      </w:pPr>
      <w:r w:rsidRPr="00C91B1C">
        <w:rPr>
          <w:rFonts w:cstheme="minorHAnsi"/>
          <w:b/>
          <w:bCs/>
          <w:sz w:val="22"/>
          <w:szCs w:val="22"/>
        </w:rPr>
        <w:t xml:space="preserve">Required </w:t>
      </w:r>
      <w:r w:rsidR="00C91B1C" w:rsidRPr="00C91B1C">
        <w:rPr>
          <w:rFonts w:cstheme="minorHAnsi"/>
          <w:b/>
          <w:bCs/>
          <w:sz w:val="22"/>
          <w:szCs w:val="22"/>
        </w:rPr>
        <w:t>Team Composition</w:t>
      </w:r>
      <w:r w:rsidR="00311CD2">
        <w:rPr>
          <w:rFonts w:cstheme="minorHAnsi"/>
          <w:b/>
          <w:bCs/>
          <w:sz w:val="22"/>
          <w:szCs w:val="22"/>
        </w:rPr>
        <w:t xml:space="preserve"> (if any)</w:t>
      </w:r>
    </w:p>
    <w:p w14:paraId="2CA9618C" w14:textId="4FA0FD11" w:rsidR="00AB533A" w:rsidRDefault="00311CD2" w:rsidP="008155C9">
      <w:pPr>
        <w:autoSpaceDE w:val="0"/>
        <w:autoSpaceDN w:val="0"/>
        <w:adjustRightInd w:val="0"/>
        <w:spacing w:after="0" w:line="240" w:lineRule="auto"/>
        <w:jc w:val="both"/>
        <w:rPr>
          <w:rFonts w:cstheme="minorHAnsi"/>
        </w:rPr>
      </w:pPr>
      <w:r>
        <w:rPr>
          <w:rFonts w:cstheme="minorHAnsi"/>
        </w:rPr>
        <w:t>If applied through the consultancy firm, g</w:t>
      </w:r>
      <w:r w:rsidRPr="00AB533A">
        <w:rPr>
          <w:rFonts w:cstheme="minorHAnsi"/>
        </w:rPr>
        <w:t xml:space="preserve">iven the scope, </w:t>
      </w:r>
      <w:r w:rsidR="00AB533A" w:rsidRPr="00AB533A">
        <w:rPr>
          <w:rFonts w:cstheme="minorHAnsi"/>
        </w:rPr>
        <w:t xml:space="preserve">sensitivity and multi-layered nature of this study, the consulting team must comprise experienced professionals with complementary expertise. The following team composition is </w:t>
      </w:r>
      <w:r w:rsidR="009F41D5">
        <w:rPr>
          <w:rFonts w:cstheme="minorHAnsi"/>
        </w:rPr>
        <w:t>expected</w:t>
      </w:r>
      <w:r w:rsidR="00AB533A" w:rsidRPr="00AB533A">
        <w:rPr>
          <w:rFonts w:cstheme="minorHAnsi"/>
        </w:rPr>
        <w:t>:</w:t>
      </w:r>
    </w:p>
    <w:p w14:paraId="22D1F72B" w14:textId="77777777" w:rsidR="00AB533A" w:rsidRDefault="00AB533A" w:rsidP="008155C9">
      <w:pPr>
        <w:autoSpaceDE w:val="0"/>
        <w:autoSpaceDN w:val="0"/>
        <w:adjustRightInd w:val="0"/>
        <w:spacing w:after="0" w:line="240" w:lineRule="auto"/>
        <w:jc w:val="both"/>
        <w:rPr>
          <w:rFonts w:cstheme="minorHAnsi"/>
        </w:rPr>
      </w:pPr>
    </w:p>
    <w:tbl>
      <w:tblPr>
        <w:tblStyle w:val="TableGrid"/>
        <w:tblW w:w="5000" w:type="pct"/>
        <w:tblLook w:val="0000" w:firstRow="0" w:lastRow="0" w:firstColumn="0" w:lastColumn="0" w:noHBand="0" w:noVBand="0"/>
      </w:tblPr>
      <w:tblGrid>
        <w:gridCol w:w="2197"/>
        <w:gridCol w:w="7153"/>
      </w:tblGrid>
      <w:tr w:rsidR="00AB533A" w:rsidRPr="002D2B19" w14:paraId="35B2D1F1" w14:textId="77777777" w:rsidTr="009D7E1A">
        <w:tc>
          <w:tcPr>
            <w:tcW w:w="1175" w:type="pct"/>
            <w:shd w:val="clear" w:color="auto" w:fill="C6D9F1" w:themeFill="text2" w:themeFillTint="33"/>
          </w:tcPr>
          <w:p w14:paraId="1F570A5C" w14:textId="77777777" w:rsidR="00AB533A" w:rsidRPr="002D2B19" w:rsidRDefault="00AB533A" w:rsidP="002D2B19">
            <w:pPr>
              <w:autoSpaceDE w:val="0"/>
              <w:autoSpaceDN w:val="0"/>
              <w:adjustRightInd w:val="0"/>
              <w:jc w:val="both"/>
              <w:rPr>
                <w:rFonts w:cstheme="minorHAnsi"/>
                <w:b/>
                <w:bCs/>
              </w:rPr>
            </w:pPr>
            <w:r w:rsidRPr="002D2B19">
              <w:rPr>
                <w:rFonts w:asciiTheme="minorHAnsi" w:eastAsiaTheme="minorHAnsi" w:hAnsiTheme="minorHAnsi" w:cstheme="minorHAnsi"/>
                <w:b/>
                <w:bCs/>
                <w:sz w:val="22"/>
                <w:szCs w:val="22"/>
              </w:rPr>
              <w:t>Role</w:t>
            </w:r>
          </w:p>
        </w:tc>
        <w:tc>
          <w:tcPr>
            <w:tcW w:w="3825" w:type="pct"/>
            <w:shd w:val="clear" w:color="auto" w:fill="C6D9F1" w:themeFill="text2" w:themeFillTint="33"/>
          </w:tcPr>
          <w:p w14:paraId="69351D52" w14:textId="77777777" w:rsidR="00AB533A" w:rsidRPr="002D2B19" w:rsidRDefault="00AB533A" w:rsidP="002D2B19">
            <w:pPr>
              <w:autoSpaceDE w:val="0"/>
              <w:autoSpaceDN w:val="0"/>
              <w:adjustRightInd w:val="0"/>
              <w:jc w:val="both"/>
              <w:rPr>
                <w:rFonts w:cstheme="minorHAnsi"/>
                <w:b/>
                <w:bCs/>
              </w:rPr>
            </w:pPr>
            <w:r w:rsidRPr="002D2B19">
              <w:rPr>
                <w:rFonts w:asciiTheme="minorHAnsi" w:eastAsiaTheme="minorHAnsi" w:hAnsiTheme="minorHAnsi" w:cstheme="minorHAnsi"/>
                <w:b/>
                <w:bCs/>
                <w:sz w:val="22"/>
                <w:szCs w:val="22"/>
              </w:rPr>
              <w:t>Required Qualifications and Experience</w:t>
            </w:r>
          </w:p>
        </w:tc>
      </w:tr>
      <w:tr w:rsidR="00AB533A" w:rsidRPr="00AB533A" w14:paraId="38AF67B9" w14:textId="77777777" w:rsidTr="00AB533A">
        <w:tc>
          <w:tcPr>
            <w:tcW w:w="1175" w:type="pct"/>
          </w:tcPr>
          <w:p w14:paraId="282CEDC2" w14:textId="4EBE79B9" w:rsidR="00AB533A" w:rsidRPr="002D2B19" w:rsidRDefault="00AB533A" w:rsidP="002D2B19">
            <w:pPr>
              <w:autoSpaceDE w:val="0"/>
              <w:autoSpaceDN w:val="0"/>
              <w:adjustRightInd w:val="0"/>
              <w:jc w:val="both"/>
              <w:rPr>
                <w:rFonts w:cstheme="minorHAnsi"/>
              </w:rPr>
            </w:pPr>
            <w:r w:rsidRPr="002D2B19">
              <w:rPr>
                <w:rFonts w:asciiTheme="minorHAnsi" w:eastAsiaTheme="minorHAnsi" w:hAnsiTheme="minorHAnsi" w:cstheme="minorHAnsi"/>
                <w:sz w:val="22"/>
                <w:szCs w:val="22"/>
              </w:rPr>
              <w:t>Team Leader/ Lead Researcher</w:t>
            </w:r>
          </w:p>
        </w:tc>
        <w:tc>
          <w:tcPr>
            <w:tcW w:w="3825" w:type="pct"/>
          </w:tcPr>
          <w:p w14:paraId="5EA9F1D5" w14:textId="77777777" w:rsidR="00AB533A" w:rsidRPr="009D7E1A" w:rsidRDefault="00AB533A" w:rsidP="002D2B19">
            <w:pPr>
              <w:autoSpaceDE w:val="0"/>
              <w:autoSpaceDN w:val="0"/>
              <w:adjustRightInd w:val="0"/>
              <w:jc w:val="both"/>
              <w:rPr>
                <w:rFonts w:cstheme="minorHAnsi"/>
                <w:lang w:val="en-US"/>
              </w:rPr>
            </w:pPr>
            <w:r w:rsidRPr="009D7E1A">
              <w:rPr>
                <w:rFonts w:asciiTheme="minorHAnsi" w:eastAsiaTheme="minorHAnsi" w:hAnsiTheme="minorHAnsi" w:cstheme="minorHAnsi"/>
                <w:sz w:val="22"/>
                <w:szCs w:val="22"/>
                <w:lang w:val="en-US"/>
              </w:rPr>
              <w:t>Proven long-term experience in development research; expertise in human rights, child rights, and women's rights; experience leading mixed-methods studies; familiarity with child marriage prevention programming in Bangladesh.</w:t>
            </w:r>
          </w:p>
        </w:tc>
      </w:tr>
      <w:tr w:rsidR="00AB533A" w:rsidRPr="00AB533A" w14:paraId="008B80E4" w14:textId="77777777" w:rsidTr="00AB533A">
        <w:tc>
          <w:tcPr>
            <w:tcW w:w="1175" w:type="pct"/>
          </w:tcPr>
          <w:p w14:paraId="3C2AFAE6" w14:textId="77777777" w:rsidR="00AB533A" w:rsidRPr="009D7E1A" w:rsidRDefault="00AB533A" w:rsidP="002D2B19">
            <w:pPr>
              <w:autoSpaceDE w:val="0"/>
              <w:autoSpaceDN w:val="0"/>
              <w:adjustRightInd w:val="0"/>
              <w:jc w:val="both"/>
              <w:rPr>
                <w:rFonts w:cstheme="minorHAnsi"/>
                <w:lang w:val="en-US"/>
              </w:rPr>
            </w:pPr>
            <w:r w:rsidRPr="009D7E1A">
              <w:rPr>
                <w:rFonts w:asciiTheme="minorHAnsi" w:eastAsiaTheme="minorHAnsi" w:hAnsiTheme="minorHAnsi" w:cstheme="minorHAnsi"/>
                <w:sz w:val="22"/>
                <w:szCs w:val="22"/>
                <w:lang w:val="en-US"/>
              </w:rPr>
              <w:t>Gender and Child Protection Expert</w:t>
            </w:r>
          </w:p>
        </w:tc>
        <w:tc>
          <w:tcPr>
            <w:tcW w:w="3825" w:type="pct"/>
          </w:tcPr>
          <w:p w14:paraId="57E82976" w14:textId="37E4CD04" w:rsidR="00AB533A" w:rsidRPr="002D2B19" w:rsidRDefault="00AB533A" w:rsidP="002D2B19">
            <w:pPr>
              <w:autoSpaceDE w:val="0"/>
              <w:autoSpaceDN w:val="0"/>
              <w:adjustRightInd w:val="0"/>
              <w:jc w:val="both"/>
              <w:rPr>
                <w:rFonts w:cstheme="minorHAnsi"/>
                <w:lang w:val="en-US"/>
              </w:rPr>
            </w:pPr>
            <w:r w:rsidRPr="002D2B19">
              <w:rPr>
                <w:rFonts w:asciiTheme="minorHAnsi" w:eastAsiaTheme="minorHAnsi" w:hAnsiTheme="minorHAnsi" w:cstheme="minorHAnsi"/>
                <w:sz w:val="22"/>
                <w:szCs w:val="22"/>
                <w:lang w:val="en-US"/>
              </w:rPr>
              <w:t>Expertise in gender equality, SRHR, child safeguarding and protection frameworks; experience working with adolescent girls on sensitive topics; knowledge of do-no-harm and ethical research protocols.</w:t>
            </w:r>
          </w:p>
        </w:tc>
      </w:tr>
      <w:tr w:rsidR="00AB533A" w:rsidRPr="00AB533A" w14:paraId="7B1B078A" w14:textId="77777777" w:rsidTr="00AB533A">
        <w:tc>
          <w:tcPr>
            <w:tcW w:w="1175" w:type="pct"/>
          </w:tcPr>
          <w:p w14:paraId="02DC6953" w14:textId="7C5083FF" w:rsidR="00AB533A" w:rsidRPr="002D2B19" w:rsidRDefault="00AB533A" w:rsidP="002D2B19">
            <w:pPr>
              <w:autoSpaceDE w:val="0"/>
              <w:autoSpaceDN w:val="0"/>
              <w:adjustRightInd w:val="0"/>
              <w:jc w:val="both"/>
              <w:rPr>
                <w:rFonts w:cstheme="minorHAnsi"/>
              </w:rPr>
            </w:pPr>
            <w:r w:rsidRPr="002D2B19">
              <w:rPr>
                <w:rFonts w:asciiTheme="minorHAnsi" w:eastAsiaTheme="minorHAnsi" w:hAnsiTheme="minorHAnsi" w:cstheme="minorHAnsi"/>
                <w:sz w:val="22"/>
                <w:szCs w:val="22"/>
              </w:rPr>
              <w:t>Research Methodology/ MEAL Expert</w:t>
            </w:r>
          </w:p>
        </w:tc>
        <w:tc>
          <w:tcPr>
            <w:tcW w:w="3825" w:type="pct"/>
          </w:tcPr>
          <w:p w14:paraId="5CC134FF" w14:textId="77777777" w:rsidR="00AB533A" w:rsidRPr="009D7E1A" w:rsidRDefault="00AB533A" w:rsidP="002D2B19">
            <w:pPr>
              <w:autoSpaceDE w:val="0"/>
              <w:autoSpaceDN w:val="0"/>
              <w:adjustRightInd w:val="0"/>
              <w:jc w:val="both"/>
              <w:rPr>
                <w:rFonts w:cstheme="minorHAnsi"/>
                <w:lang w:val="en-US"/>
              </w:rPr>
            </w:pPr>
            <w:r w:rsidRPr="009D7E1A">
              <w:rPr>
                <w:rFonts w:asciiTheme="minorHAnsi" w:eastAsiaTheme="minorHAnsi" w:hAnsiTheme="minorHAnsi" w:cstheme="minorHAnsi"/>
                <w:sz w:val="22"/>
                <w:szCs w:val="22"/>
                <w:lang w:val="en-US"/>
              </w:rPr>
              <w:t>Strong quantitative and qualitative research skills; experience developing MEAL frameworks and indicator tracking systems; proficiency in SPSS or equivalent; experience with power calculations and sampling design.</w:t>
            </w:r>
          </w:p>
        </w:tc>
      </w:tr>
      <w:tr w:rsidR="00AB533A" w:rsidRPr="00AB533A" w14:paraId="0551461A" w14:textId="77777777" w:rsidTr="00AB533A">
        <w:tc>
          <w:tcPr>
            <w:tcW w:w="1175" w:type="pct"/>
          </w:tcPr>
          <w:p w14:paraId="56FD361D" w14:textId="77777777" w:rsidR="00AB533A" w:rsidRPr="002D2B19" w:rsidRDefault="00AB533A" w:rsidP="002D2B19">
            <w:pPr>
              <w:autoSpaceDE w:val="0"/>
              <w:autoSpaceDN w:val="0"/>
              <w:adjustRightInd w:val="0"/>
              <w:jc w:val="both"/>
              <w:rPr>
                <w:rFonts w:cstheme="minorHAnsi"/>
              </w:rPr>
            </w:pPr>
            <w:r w:rsidRPr="002D2B19">
              <w:rPr>
                <w:rFonts w:asciiTheme="minorHAnsi" w:eastAsiaTheme="minorHAnsi" w:hAnsiTheme="minorHAnsi" w:cstheme="minorHAnsi"/>
                <w:sz w:val="22"/>
                <w:szCs w:val="22"/>
              </w:rPr>
              <w:t>Data Analyst</w:t>
            </w:r>
          </w:p>
        </w:tc>
        <w:tc>
          <w:tcPr>
            <w:tcW w:w="3825" w:type="pct"/>
          </w:tcPr>
          <w:p w14:paraId="4B11CF7A" w14:textId="50111D20" w:rsidR="00AB533A" w:rsidRPr="002D2B19" w:rsidRDefault="00AB533A" w:rsidP="002D2B19">
            <w:pPr>
              <w:autoSpaceDE w:val="0"/>
              <w:autoSpaceDN w:val="0"/>
              <w:adjustRightInd w:val="0"/>
              <w:jc w:val="both"/>
              <w:rPr>
                <w:rFonts w:cstheme="minorHAnsi"/>
                <w:lang w:val="en-US"/>
              </w:rPr>
            </w:pPr>
            <w:r w:rsidRPr="002D2B19">
              <w:rPr>
                <w:rFonts w:asciiTheme="minorHAnsi" w:eastAsiaTheme="minorHAnsi" w:hAnsiTheme="minorHAnsi" w:cstheme="minorHAnsi"/>
                <w:sz w:val="22"/>
                <w:szCs w:val="22"/>
                <w:lang w:val="en-US"/>
              </w:rPr>
              <w:t>Proficiency in SPSS, STATA or R</w:t>
            </w:r>
            <w:r w:rsidR="002D2B19" w:rsidRPr="002D2B19">
              <w:rPr>
                <w:rFonts w:asciiTheme="minorHAnsi" w:eastAsiaTheme="minorHAnsi" w:hAnsiTheme="minorHAnsi" w:cstheme="minorHAnsi"/>
                <w:sz w:val="22"/>
                <w:szCs w:val="22"/>
                <w:lang w:val="en-US"/>
              </w:rPr>
              <w:t xml:space="preserve"> </w:t>
            </w:r>
            <w:r w:rsidR="002D2B19">
              <w:rPr>
                <w:rFonts w:asciiTheme="minorHAnsi" w:eastAsiaTheme="minorHAnsi" w:hAnsiTheme="minorHAnsi" w:cstheme="minorHAnsi"/>
                <w:sz w:val="22"/>
                <w:szCs w:val="22"/>
                <w:lang w:val="en-US"/>
              </w:rPr>
              <w:t>or any AI based platform</w:t>
            </w:r>
            <w:r w:rsidRPr="002D2B19">
              <w:rPr>
                <w:rFonts w:asciiTheme="minorHAnsi" w:eastAsiaTheme="minorHAnsi" w:hAnsiTheme="minorHAnsi" w:cstheme="minorHAnsi"/>
                <w:sz w:val="22"/>
                <w:szCs w:val="22"/>
                <w:lang w:val="en-US"/>
              </w:rPr>
              <w:t>; experience in statistical analysis for social research; ability to manage and clean large datasets.</w:t>
            </w:r>
          </w:p>
        </w:tc>
      </w:tr>
      <w:tr w:rsidR="00AB533A" w:rsidRPr="00AB533A" w14:paraId="012BF4A6" w14:textId="77777777" w:rsidTr="00AB533A">
        <w:tc>
          <w:tcPr>
            <w:tcW w:w="1175" w:type="pct"/>
          </w:tcPr>
          <w:p w14:paraId="19FB1190" w14:textId="77777777" w:rsidR="00AB533A" w:rsidRPr="009D7E1A" w:rsidRDefault="00AB533A" w:rsidP="002D2B19">
            <w:pPr>
              <w:autoSpaceDE w:val="0"/>
              <w:autoSpaceDN w:val="0"/>
              <w:adjustRightInd w:val="0"/>
              <w:jc w:val="both"/>
              <w:rPr>
                <w:rFonts w:cstheme="minorHAnsi"/>
                <w:lang w:val="en-US"/>
              </w:rPr>
            </w:pPr>
            <w:r w:rsidRPr="009D7E1A">
              <w:rPr>
                <w:rFonts w:asciiTheme="minorHAnsi" w:eastAsiaTheme="minorHAnsi" w:hAnsiTheme="minorHAnsi" w:cstheme="minorHAnsi"/>
                <w:sz w:val="22"/>
                <w:szCs w:val="22"/>
                <w:lang w:val="en-US"/>
              </w:rPr>
              <w:t>Field Enumerators (mixed-gender team)</w:t>
            </w:r>
          </w:p>
        </w:tc>
        <w:tc>
          <w:tcPr>
            <w:tcW w:w="3825" w:type="pct"/>
          </w:tcPr>
          <w:p w14:paraId="4FDD8B0B" w14:textId="77777777" w:rsidR="00AB533A" w:rsidRPr="009D7E1A" w:rsidRDefault="00AB533A" w:rsidP="002D2B19">
            <w:pPr>
              <w:autoSpaceDE w:val="0"/>
              <w:autoSpaceDN w:val="0"/>
              <w:adjustRightInd w:val="0"/>
              <w:jc w:val="both"/>
              <w:rPr>
                <w:rFonts w:cstheme="minorHAnsi"/>
                <w:lang w:val="en-US"/>
              </w:rPr>
            </w:pPr>
            <w:r w:rsidRPr="009D7E1A">
              <w:rPr>
                <w:rFonts w:asciiTheme="minorHAnsi" w:eastAsiaTheme="minorHAnsi" w:hAnsiTheme="minorHAnsi" w:cstheme="minorHAnsi"/>
                <w:sz w:val="22"/>
                <w:szCs w:val="22"/>
                <w:lang w:val="en-US"/>
              </w:rPr>
              <w:t>Trained enumerators fluent in Bangla; at least 50% must be women. All must complete training on child safeguarding, ethical data collection, and do-no-harm protocols before fieldwork begins.</w:t>
            </w:r>
          </w:p>
        </w:tc>
      </w:tr>
    </w:tbl>
    <w:p w14:paraId="133A757B" w14:textId="77777777" w:rsidR="00AB533A" w:rsidRDefault="00AB533A" w:rsidP="008155C9">
      <w:pPr>
        <w:autoSpaceDE w:val="0"/>
        <w:autoSpaceDN w:val="0"/>
        <w:adjustRightInd w:val="0"/>
        <w:spacing w:after="0" w:line="240" w:lineRule="auto"/>
        <w:jc w:val="both"/>
        <w:rPr>
          <w:rFonts w:cstheme="minorHAnsi"/>
        </w:rPr>
      </w:pPr>
    </w:p>
    <w:p w14:paraId="2E86C4CB" w14:textId="485839DD" w:rsidR="00835F94" w:rsidRPr="00C91B1C" w:rsidRDefault="00835F94" w:rsidP="00C91B1C">
      <w:pPr>
        <w:pStyle w:val="ListParagraph"/>
        <w:numPr>
          <w:ilvl w:val="0"/>
          <w:numId w:val="21"/>
        </w:numPr>
        <w:spacing w:after="0" w:line="240" w:lineRule="auto"/>
        <w:rPr>
          <w:rFonts w:cstheme="minorHAnsi"/>
          <w:b/>
          <w:bCs/>
          <w:sz w:val="22"/>
          <w:szCs w:val="22"/>
        </w:rPr>
      </w:pPr>
      <w:r w:rsidRPr="00C91B1C">
        <w:rPr>
          <w:rFonts w:cstheme="minorHAnsi"/>
          <w:b/>
          <w:bCs/>
          <w:sz w:val="22"/>
          <w:szCs w:val="22"/>
        </w:rPr>
        <w:t>Child Protection Policy</w:t>
      </w:r>
    </w:p>
    <w:p w14:paraId="0338594C" w14:textId="365B14F5" w:rsidR="00835F94" w:rsidRPr="008155C9" w:rsidRDefault="00835F94" w:rsidP="008155C9">
      <w:pPr>
        <w:autoSpaceDE w:val="0"/>
        <w:autoSpaceDN w:val="0"/>
        <w:adjustRightInd w:val="0"/>
        <w:spacing w:after="0" w:line="240" w:lineRule="auto"/>
        <w:jc w:val="both"/>
        <w:rPr>
          <w:rFonts w:cstheme="minorHAnsi"/>
        </w:rPr>
      </w:pPr>
      <w:r w:rsidRPr="008155C9">
        <w:rPr>
          <w:rFonts w:cstheme="minorHAnsi"/>
        </w:rPr>
        <w:t>The firm/</w:t>
      </w:r>
      <w:r w:rsidR="00311CD2">
        <w:rPr>
          <w:rFonts w:cstheme="minorHAnsi"/>
        </w:rPr>
        <w:t xml:space="preserve"> </w:t>
      </w:r>
      <w:r w:rsidRPr="008155C9">
        <w:rPr>
          <w:rFonts w:cstheme="minorHAnsi"/>
        </w:rPr>
        <w:t>organization/</w:t>
      </w:r>
      <w:r w:rsidR="00311CD2">
        <w:rPr>
          <w:rFonts w:cstheme="minorHAnsi"/>
        </w:rPr>
        <w:t xml:space="preserve"> </w:t>
      </w:r>
      <w:r w:rsidRPr="008155C9">
        <w:rPr>
          <w:rFonts w:cstheme="minorHAnsi"/>
        </w:rPr>
        <w:t xml:space="preserve">individual shall comply with the </w:t>
      </w:r>
      <w:hyperlink r:id="rId13" w:history="1">
        <w:r w:rsidRPr="00385250">
          <w:rPr>
            <w:rStyle w:val="Hyperlink"/>
            <w:rFonts w:cstheme="minorHAnsi"/>
          </w:rPr>
          <w:t xml:space="preserve">Child Protection Policy of </w:t>
        </w:r>
        <w:r w:rsidR="00B56523" w:rsidRPr="00385250">
          <w:rPr>
            <w:rStyle w:val="Hyperlink"/>
            <w:rFonts w:cstheme="minorHAnsi"/>
          </w:rPr>
          <w:t>THP</w:t>
        </w:r>
      </w:hyperlink>
      <w:r w:rsidRPr="00385250">
        <w:rPr>
          <w:rFonts w:cstheme="minorHAnsi"/>
        </w:rPr>
        <w:t>.</w:t>
      </w:r>
      <w:r w:rsidRPr="008155C9">
        <w:rPr>
          <w:rFonts w:cstheme="minorHAnsi"/>
        </w:rPr>
        <w:t xml:space="preserve"> Any violation/</w:t>
      </w:r>
      <w:r w:rsidR="00311CD2">
        <w:rPr>
          <w:rFonts w:cstheme="minorHAnsi"/>
        </w:rPr>
        <w:t xml:space="preserve"> </w:t>
      </w:r>
      <w:r w:rsidRPr="008155C9">
        <w:rPr>
          <w:rFonts w:cstheme="minorHAnsi"/>
        </w:rPr>
        <w:t xml:space="preserve">deviation is in complying with </w:t>
      </w:r>
      <w:r w:rsidR="00B56523" w:rsidRPr="008155C9">
        <w:rPr>
          <w:rFonts w:cstheme="minorHAnsi"/>
        </w:rPr>
        <w:t>THP</w:t>
      </w:r>
      <w:r w:rsidRPr="008155C9">
        <w:rPr>
          <w:rFonts w:cstheme="minorHAnsi"/>
        </w:rPr>
        <w:t xml:space="preserve">'s child protection policy will result in termination of the agreement.  </w:t>
      </w:r>
    </w:p>
    <w:p w14:paraId="23C658E8" w14:textId="77777777" w:rsidR="00835F94" w:rsidRPr="008155C9" w:rsidRDefault="00835F94" w:rsidP="008155C9">
      <w:pPr>
        <w:autoSpaceDE w:val="0"/>
        <w:autoSpaceDN w:val="0"/>
        <w:adjustRightInd w:val="0"/>
        <w:spacing w:after="0" w:line="240" w:lineRule="auto"/>
        <w:jc w:val="both"/>
        <w:rPr>
          <w:rFonts w:cstheme="minorHAnsi"/>
        </w:rPr>
      </w:pPr>
    </w:p>
    <w:p w14:paraId="0B4D7AC7" w14:textId="7BB0BD88" w:rsidR="00835F94" w:rsidRPr="00C91B1C" w:rsidRDefault="00835F94" w:rsidP="00C91B1C">
      <w:pPr>
        <w:pStyle w:val="ListParagraph"/>
        <w:numPr>
          <w:ilvl w:val="0"/>
          <w:numId w:val="21"/>
        </w:numPr>
        <w:spacing w:after="0" w:line="240" w:lineRule="auto"/>
        <w:rPr>
          <w:rFonts w:cstheme="minorHAnsi"/>
          <w:b/>
          <w:bCs/>
          <w:sz w:val="22"/>
          <w:szCs w:val="22"/>
        </w:rPr>
      </w:pPr>
      <w:r w:rsidRPr="00C91B1C">
        <w:rPr>
          <w:rFonts w:cstheme="minorHAnsi"/>
          <w:b/>
          <w:bCs/>
          <w:sz w:val="22"/>
          <w:szCs w:val="22"/>
        </w:rPr>
        <w:t>Disclaimers</w:t>
      </w:r>
    </w:p>
    <w:p w14:paraId="366BDB24" w14:textId="38ACC4B9" w:rsidR="00835F94" w:rsidRPr="008155C9" w:rsidRDefault="00B56523" w:rsidP="008155C9">
      <w:pPr>
        <w:autoSpaceDE w:val="0"/>
        <w:autoSpaceDN w:val="0"/>
        <w:adjustRightInd w:val="0"/>
        <w:spacing w:after="0" w:line="240" w:lineRule="auto"/>
        <w:jc w:val="both"/>
        <w:rPr>
          <w:rFonts w:cstheme="minorHAnsi"/>
        </w:rPr>
      </w:pPr>
      <w:r w:rsidRPr="008155C9">
        <w:rPr>
          <w:rFonts w:cstheme="minorHAnsi"/>
        </w:rPr>
        <w:t>THP</w:t>
      </w:r>
      <w:r w:rsidR="00835F94" w:rsidRPr="008155C9">
        <w:rPr>
          <w:rFonts w:cstheme="minorHAnsi"/>
        </w:rPr>
        <w:t xml:space="preserve"> reserves the right to accept or </w:t>
      </w:r>
      <w:r w:rsidR="00EF3846" w:rsidRPr="008155C9">
        <w:rPr>
          <w:rFonts w:cstheme="minorHAnsi"/>
        </w:rPr>
        <w:t xml:space="preserve">reject </w:t>
      </w:r>
      <w:r w:rsidR="00835F94" w:rsidRPr="008155C9">
        <w:rPr>
          <w:rFonts w:cstheme="minorHAnsi"/>
        </w:rPr>
        <w:t xml:space="preserve">any or all proposal without any reason </w:t>
      </w:r>
      <w:r w:rsidR="00C91B1C" w:rsidRPr="008155C9">
        <w:rPr>
          <w:rFonts w:cstheme="minorHAnsi"/>
        </w:rPr>
        <w:t>whatsoever</w:t>
      </w:r>
      <w:r w:rsidR="00835F94" w:rsidRPr="008155C9">
        <w:rPr>
          <w:rFonts w:cstheme="minorHAnsi"/>
        </w:rPr>
        <w:t>.</w:t>
      </w:r>
    </w:p>
    <w:p w14:paraId="62C2CC6B" w14:textId="77777777" w:rsidR="00835F94" w:rsidRPr="008155C9" w:rsidRDefault="00835F94" w:rsidP="008155C9">
      <w:pPr>
        <w:autoSpaceDE w:val="0"/>
        <w:autoSpaceDN w:val="0"/>
        <w:adjustRightInd w:val="0"/>
        <w:spacing w:after="0" w:line="240" w:lineRule="auto"/>
        <w:rPr>
          <w:rFonts w:cstheme="minorHAnsi"/>
        </w:rPr>
      </w:pPr>
    </w:p>
    <w:p w14:paraId="662904A1" w14:textId="0479B122" w:rsidR="00835F94" w:rsidRPr="00C91B1C" w:rsidRDefault="00835F94" w:rsidP="00C91B1C">
      <w:pPr>
        <w:pStyle w:val="ListParagraph"/>
        <w:numPr>
          <w:ilvl w:val="0"/>
          <w:numId w:val="21"/>
        </w:numPr>
        <w:spacing w:after="0" w:line="240" w:lineRule="auto"/>
        <w:rPr>
          <w:rFonts w:cstheme="minorHAnsi"/>
          <w:b/>
          <w:bCs/>
          <w:sz w:val="22"/>
          <w:szCs w:val="22"/>
        </w:rPr>
      </w:pPr>
      <w:r w:rsidRPr="00C91B1C">
        <w:rPr>
          <w:rFonts w:cstheme="minorHAnsi"/>
          <w:b/>
          <w:bCs/>
          <w:sz w:val="22"/>
          <w:szCs w:val="22"/>
        </w:rPr>
        <w:t xml:space="preserve">Consultancy </w:t>
      </w:r>
      <w:r w:rsidR="00C91B1C" w:rsidRPr="00C91B1C">
        <w:rPr>
          <w:rFonts w:cstheme="minorHAnsi"/>
          <w:b/>
          <w:bCs/>
          <w:sz w:val="22"/>
          <w:szCs w:val="22"/>
        </w:rPr>
        <w:t>Duration</w:t>
      </w:r>
    </w:p>
    <w:p w14:paraId="4EA37392" w14:textId="3C3F0DFD" w:rsidR="00835F94" w:rsidRPr="008155C9" w:rsidRDefault="00835F94" w:rsidP="008155C9">
      <w:pPr>
        <w:spacing w:after="0" w:line="240" w:lineRule="auto"/>
        <w:jc w:val="both"/>
        <w:rPr>
          <w:rFonts w:cstheme="minorHAnsi"/>
          <w:color w:val="000000"/>
        </w:rPr>
      </w:pPr>
      <w:r w:rsidRPr="008155C9">
        <w:rPr>
          <w:rFonts w:cstheme="minorHAnsi"/>
        </w:rPr>
        <w:t xml:space="preserve">The entire period of this consultancy will be for </w:t>
      </w:r>
      <w:r w:rsidR="00304B94" w:rsidRPr="00B161D7">
        <w:rPr>
          <w:rFonts w:cstheme="minorHAnsi"/>
          <w:shd w:val="clear" w:color="auto" w:fill="FFFF00"/>
        </w:rPr>
        <w:t>Six</w:t>
      </w:r>
      <w:r w:rsidRPr="00B161D7">
        <w:rPr>
          <w:rFonts w:cstheme="minorHAnsi"/>
          <w:highlight w:val="yellow"/>
          <w:shd w:val="clear" w:color="auto" w:fill="FFFF00"/>
        </w:rPr>
        <w:t xml:space="preserve"> (0</w:t>
      </w:r>
      <w:r w:rsidR="00B56523" w:rsidRPr="00B161D7">
        <w:rPr>
          <w:rFonts w:cstheme="minorHAnsi"/>
          <w:highlight w:val="yellow"/>
          <w:shd w:val="clear" w:color="auto" w:fill="FFFF00"/>
        </w:rPr>
        <w:t>6</w:t>
      </w:r>
      <w:r w:rsidRPr="00B161D7">
        <w:rPr>
          <w:rFonts w:cstheme="minorHAnsi"/>
          <w:highlight w:val="yellow"/>
          <w:shd w:val="clear" w:color="auto" w:fill="FFFF00"/>
        </w:rPr>
        <w:t>) weeks</w:t>
      </w:r>
      <w:r w:rsidRPr="00B161D7">
        <w:rPr>
          <w:rFonts w:cstheme="minorHAnsi"/>
          <w:shd w:val="clear" w:color="auto" w:fill="FFFF00"/>
        </w:rPr>
        <w:t xml:space="preserve"> starting </w:t>
      </w:r>
      <w:r w:rsidRPr="00B161D7">
        <w:rPr>
          <w:rFonts w:cstheme="minorHAnsi"/>
          <w:color w:val="000000"/>
          <w:shd w:val="clear" w:color="auto" w:fill="FFFF00"/>
        </w:rPr>
        <w:t xml:space="preserve">from </w:t>
      </w:r>
      <w:r w:rsidR="00B36D71">
        <w:rPr>
          <w:rFonts w:cstheme="minorHAnsi"/>
          <w:color w:val="000000"/>
          <w:shd w:val="clear" w:color="auto" w:fill="FFFF00"/>
        </w:rPr>
        <w:t>25</w:t>
      </w:r>
      <w:r w:rsidRPr="00B161D7">
        <w:rPr>
          <w:rFonts w:cstheme="minorHAnsi"/>
          <w:color w:val="000000"/>
          <w:highlight w:val="yellow"/>
          <w:shd w:val="clear" w:color="auto" w:fill="FFFF00"/>
        </w:rPr>
        <w:t xml:space="preserve"> </w:t>
      </w:r>
      <w:r w:rsidR="00385250" w:rsidRPr="00B161D7">
        <w:rPr>
          <w:rFonts w:cstheme="minorHAnsi"/>
          <w:color w:val="000000"/>
          <w:highlight w:val="yellow"/>
          <w:shd w:val="clear" w:color="auto" w:fill="FFFF00"/>
        </w:rPr>
        <w:t>June</w:t>
      </w:r>
      <w:r w:rsidRPr="00B161D7">
        <w:rPr>
          <w:rFonts w:cstheme="minorHAnsi"/>
          <w:color w:val="000000"/>
          <w:highlight w:val="yellow"/>
          <w:shd w:val="clear" w:color="auto" w:fill="FFFF00"/>
        </w:rPr>
        <w:t xml:space="preserve"> 20</w:t>
      </w:r>
      <w:r w:rsidR="007240DA" w:rsidRPr="00B161D7">
        <w:rPr>
          <w:rFonts w:cstheme="minorHAnsi"/>
          <w:color w:val="000000"/>
          <w:highlight w:val="yellow"/>
          <w:shd w:val="clear" w:color="auto" w:fill="FFFF00"/>
        </w:rPr>
        <w:t>26.</w:t>
      </w:r>
    </w:p>
    <w:p w14:paraId="65A6A790" w14:textId="77777777" w:rsidR="009F2D08" w:rsidRPr="008155C9" w:rsidRDefault="009F2D08" w:rsidP="008155C9">
      <w:pPr>
        <w:autoSpaceDE w:val="0"/>
        <w:autoSpaceDN w:val="0"/>
        <w:adjustRightInd w:val="0"/>
        <w:spacing w:after="0" w:line="240" w:lineRule="auto"/>
        <w:jc w:val="both"/>
        <w:rPr>
          <w:rFonts w:cstheme="minorHAnsi"/>
          <w:u w:val="single"/>
        </w:rPr>
      </w:pPr>
    </w:p>
    <w:p w14:paraId="5887252C" w14:textId="4B8D1980" w:rsidR="00835F94" w:rsidRPr="00C91B1C" w:rsidRDefault="00835F94" w:rsidP="00C91B1C">
      <w:pPr>
        <w:pStyle w:val="ListParagraph"/>
        <w:numPr>
          <w:ilvl w:val="0"/>
          <w:numId w:val="21"/>
        </w:numPr>
        <w:spacing w:after="0" w:line="240" w:lineRule="auto"/>
        <w:rPr>
          <w:rFonts w:cstheme="minorHAnsi"/>
          <w:b/>
          <w:bCs/>
          <w:sz w:val="22"/>
          <w:szCs w:val="22"/>
        </w:rPr>
      </w:pPr>
      <w:r w:rsidRPr="00C91B1C">
        <w:rPr>
          <w:rFonts w:cstheme="minorHAnsi"/>
          <w:b/>
          <w:bCs/>
          <w:sz w:val="22"/>
          <w:szCs w:val="22"/>
        </w:rPr>
        <w:t>Mode of Payment</w:t>
      </w:r>
    </w:p>
    <w:tbl>
      <w:tblPr>
        <w:tblStyle w:val="TableGrid"/>
        <w:tblW w:w="9360" w:type="dxa"/>
        <w:tblLook w:val="0000" w:firstRow="0" w:lastRow="0" w:firstColumn="0" w:lastColumn="0" w:noHBand="0" w:noVBand="0"/>
      </w:tblPr>
      <w:tblGrid>
        <w:gridCol w:w="1204"/>
        <w:gridCol w:w="2192"/>
        <w:gridCol w:w="5964"/>
      </w:tblGrid>
      <w:tr w:rsidR="001505E6" w:rsidRPr="00D45910" w14:paraId="3A021B82" w14:textId="77777777" w:rsidTr="00FD6443">
        <w:tc>
          <w:tcPr>
            <w:tcW w:w="1204" w:type="dxa"/>
            <w:shd w:val="clear" w:color="auto" w:fill="C6D9F1" w:themeFill="text2" w:themeFillTint="33"/>
          </w:tcPr>
          <w:p w14:paraId="76E3B7FB" w14:textId="77777777" w:rsidR="001505E6" w:rsidRPr="00D45910" w:rsidRDefault="001505E6" w:rsidP="001505E6">
            <w:pPr>
              <w:rPr>
                <w:sz w:val="22"/>
                <w:szCs w:val="22"/>
              </w:rPr>
            </w:pPr>
            <w:r w:rsidRPr="00D45910">
              <w:rPr>
                <w:rFonts w:cs="Calibri"/>
                <w:b/>
                <w:bCs/>
                <w:sz w:val="22"/>
                <w:szCs w:val="22"/>
              </w:rPr>
              <w:t>Instalment</w:t>
            </w:r>
          </w:p>
        </w:tc>
        <w:tc>
          <w:tcPr>
            <w:tcW w:w="2192" w:type="dxa"/>
            <w:shd w:val="clear" w:color="auto" w:fill="C6D9F1" w:themeFill="text2" w:themeFillTint="33"/>
          </w:tcPr>
          <w:p w14:paraId="191619BD" w14:textId="77777777" w:rsidR="001505E6" w:rsidRPr="00D45910" w:rsidRDefault="001505E6" w:rsidP="001505E6">
            <w:pPr>
              <w:rPr>
                <w:sz w:val="22"/>
                <w:szCs w:val="22"/>
              </w:rPr>
            </w:pPr>
            <w:r w:rsidRPr="00D45910">
              <w:rPr>
                <w:rFonts w:cs="Calibri"/>
                <w:b/>
                <w:bCs/>
                <w:sz w:val="22"/>
                <w:szCs w:val="22"/>
              </w:rPr>
              <w:t>Amount</w:t>
            </w:r>
          </w:p>
        </w:tc>
        <w:tc>
          <w:tcPr>
            <w:tcW w:w="5964" w:type="dxa"/>
            <w:shd w:val="clear" w:color="auto" w:fill="C6D9F1" w:themeFill="text2" w:themeFillTint="33"/>
          </w:tcPr>
          <w:p w14:paraId="7FE61D61" w14:textId="77777777" w:rsidR="001505E6" w:rsidRPr="00D45910" w:rsidRDefault="001505E6" w:rsidP="001505E6">
            <w:pPr>
              <w:rPr>
                <w:sz w:val="22"/>
                <w:szCs w:val="22"/>
              </w:rPr>
            </w:pPr>
            <w:r w:rsidRPr="00D45910">
              <w:rPr>
                <w:rFonts w:cs="Calibri"/>
                <w:b/>
                <w:bCs/>
                <w:sz w:val="22"/>
                <w:szCs w:val="22"/>
              </w:rPr>
              <w:t>Trigger Condition</w:t>
            </w:r>
          </w:p>
        </w:tc>
      </w:tr>
      <w:tr w:rsidR="001505E6" w:rsidRPr="00D45910" w14:paraId="121C5F6B" w14:textId="77777777" w:rsidTr="00FD6443">
        <w:tc>
          <w:tcPr>
            <w:tcW w:w="1204" w:type="dxa"/>
          </w:tcPr>
          <w:p w14:paraId="7DE61B12" w14:textId="587F655B" w:rsidR="001505E6" w:rsidRPr="00D45910" w:rsidRDefault="001505E6" w:rsidP="001505E6">
            <w:pPr>
              <w:rPr>
                <w:sz w:val="22"/>
                <w:szCs w:val="22"/>
              </w:rPr>
            </w:pPr>
            <w:r w:rsidRPr="00D45910">
              <w:rPr>
                <w:rFonts w:cs="Calibri"/>
                <w:sz w:val="22"/>
                <w:szCs w:val="22"/>
              </w:rPr>
              <w:t xml:space="preserve">1st </w:t>
            </w:r>
          </w:p>
        </w:tc>
        <w:tc>
          <w:tcPr>
            <w:tcW w:w="2192" w:type="dxa"/>
          </w:tcPr>
          <w:p w14:paraId="7FA9815D" w14:textId="77777777" w:rsidR="001505E6" w:rsidRPr="00D45910" w:rsidRDefault="001505E6" w:rsidP="001505E6">
            <w:pPr>
              <w:rPr>
                <w:sz w:val="22"/>
                <w:szCs w:val="22"/>
              </w:rPr>
            </w:pPr>
            <w:r w:rsidRPr="00D45910">
              <w:rPr>
                <w:rFonts w:cs="Calibri"/>
                <w:sz w:val="22"/>
                <w:szCs w:val="22"/>
              </w:rPr>
              <w:t>40% of agreed total</w:t>
            </w:r>
          </w:p>
        </w:tc>
        <w:tc>
          <w:tcPr>
            <w:tcW w:w="5964" w:type="dxa"/>
          </w:tcPr>
          <w:p w14:paraId="24D4C87E" w14:textId="2A6037DD" w:rsidR="001505E6" w:rsidRPr="00D45910" w:rsidRDefault="001505E6" w:rsidP="001505E6">
            <w:pPr>
              <w:rPr>
                <w:sz w:val="22"/>
                <w:szCs w:val="22"/>
                <w:lang w:val="en-US"/>
              </w:rPr>
            </w:pPr>
            <w:r w:rsidRPr="00D45910">
              <w:rPr>
                <w:rFonts w:cs="Calibri"/>
                <w:sz w:val="22"/>
                <w:szCs w:val="22"/>
                <w:lang w:val="en-US"/>
              </w:rPr>
              <w:t xml:space="preserve">Upon acceptance of the Inception Report by THP </w:t>
            </w:r>
          </w:p>
        </w:tc>
      </w:tr>
      <w:tr w:rsidR="001505E6" w:rsidRPr="00D45910" w14:paraId="5C86B035" w14:textId="77777777" w:rsidTr="00FD6443">
        <w:tc>
          <w:tcPr>
            <w:tcW w:w="1204" w:type="dxa"/>
          </w:tcPr>
          <w:p w14:paraId="658556F3" w14:textId="77777777" w:rsidR="001505E6" w:rsidRPr="00D45910" w:rsidRDefault="001505E6" w:rsidP="001505E6">
            <w:pPr>
              <w:rPr>
                <w:sz w:val="22"/>
                <w:szCs w:val="22"/>
              </w:rPr>
            </w:pPr>
            <w:r w:rsidRPr="00D45910">
              <w:rPr>
                <w:rFonts w:cs="Calibri"/>
                <w:sz w:val="22"/>
                <w:szCs w:val="22"/>
              </w:rPr>
              <w:t>2nd</w:t>
            </w:r>
          </w:p>
        </w:tc>
        <w:tc>
          <w:tcPr>
            <w:tcW w:w="2192" w:type="dxa"/>
          </w:tcPr>
          <w:p w14:paraId="47658244" w14:textId="77777777" w:rsidR="001505E6" w:rsidRPr="00D45910" w:rsidRDefault="001505E6" w:rsidP="001505E6">
            <w:pPr>
              <w:rPr>
                <w:sz w:val="22"/>
                <w:szCs w:val="22"/>
              </w:rPr>
            </w:pPr>
            <w:r w:rsidRPr="00D45910">
              <w:rPr>
                <w:rFonts w:cs="Calibri"/>
                <w:sz w:val="22"/>
                <w:szCs w:val="22"/>
              </w:rPr>
              <w:t>30% of agreed total</w:t>
            </w:r>
          </w:p>
        </w:tc>
        <w:tc>
          <w:tcPr>
            <w:tcW w:w="5964" w:type="dxa"/>
          </w:tcPr>
          <w:p w14:paraId="1C434A50" w14:textId="77777777" w:rsidR="001505E6" w:rsidRPr="009D7E1A" w:rsidRDefault="001505E6" w:rsidP="001505E6">
            <w:pPr>
              <w:rPr>
                <w:sz w:val="22"/>
                <w:szCs w:val="22"/>
                <w:lang w:val="en-US"/>
              </w:rPr>
            </w:pPr>
            <w:r w:rsidRPr="009D7E1A">
              <w:rPr>
                <w:rFonts w:cs="Calibri"/>
                <w:sz w:val="22"/>
                <w:szCs w:val="22"/>
                <w:lang w:val="en-US"/>
              </w:rPr>
              <w:t>Upon submission of the Draft Baseline Report</w:t>
            </w:r>
          </w:p>
        </w:tc>
      </w:tr>
      <w:tr w:rsidR="001505E6" w:rsidRPr="00D45910" w14:paraId="16349D7D" w14:textId="77777777" w:rsidTr="00FD6443">
        <w:tc>
          <w:tcPr>
            <w:tcW w:w="1204" w:type="dxa"/>
          </w:tcPr>
          <w:p w14:paraId="3622D698" w14:textId="77777777" w:rsidR="001505E6" w:rsidRPr="00D45910" w:rsidRDefault="001505E6" w:rsidP="001505E6">
            <w:pPr>
              <w:rPr>
                <w:sz w:val="22"/>
                <w:szCs w:val="22"/>
              </w:rPr>
            </w:pPr>
            <w:r w:rsidRPr="00D45910">
              <w:rPr>
                <w:rFonts w:cs="Calibri"/>
                <w:sz w:val="22"/>
                <w:szCs w:val="22"/>
              </w:rPr>
              <w:t>3rd (final)</w:t>
            </w:r>
          </w:p>
        </w:tc>
        <w:tc>
          <w:tcPr>
            <w:tcW w:w="2192" w:type="dxa"/>
          </w:tcPr>
          <w:p w14:paraId="718F49ED" w14:textId="77777777" w:rsidR="001505E6" w:rsidRPr="00D45910" w:rsidRDefault="001505E6" w:rsidP="001505E6">
            <w:pPr>
              <w:rPr>
                <w:sz w:val="22"/>
                <w:szCs w:val="22"/>
              </w:rPr>
            </w:pPr>
            <w:r w:rsidRPr="00D45910">
              <w:rPr>
                <w:rFonts w:cs="Calibri"/>
                <w:sz w:val="22"/>
                <w:szCs w:val="22"/>
              </w:rPr>
              <w:t>30% of agreed total</w:t>
            </w:r>
          </w:p>
        </w:tc>
        <w:tc>
          <w:tcPr>
            <w:tcW w:w="5964" w:type="dxa"/>
          </w:tcPr>
          <w:p w14:paraId="2113F898" w14:textId="484BF107" w:rsidR="001505E6" w:rsidRPr="009D7E1A" w:rsidRDefault="001505E6" w:rsidP="001505E6">
            <w:pPr>
              <w:rPr>
                <w:sz w:val="22"/>
                <w:szCs w:val="22"/>
                <w:lang w:val="en-US"/>
              </w:rPr>
            </w:pPr>
            <w:r w:rsidRPr="009D7E1A">
              <w:rPr>
                <w:rFonts w:cs="Calibri"/>
                <w:sz w:val="22"/>
                <w:szCs w:val="22"/>
                <w:lang w:val="en-US"/>
              </w:rPr>
              <w:t>Upon acceptance of the Final Baseline Report by THP</w:t>
            </w:r>
          </w:p>
        </w:tc>
      </w:tr>
    </w:tbl>
    <w:p w14:paraId="680861CD" w14:textId="31A50DA2" w:rsidR="00FD6443" w:rsidRPr="00D45D77" w:rsidRDefault="00756984" w:rsidP="00FD6443">
      <w:r>
        <w:lastRenderedPageBreak/>
        <w:t>The payment will be made by account payee cheque or bank transfer after deducting</w:t>
      </w:r>
      <w:r w:rsidR="00FE0615">
        <w:t xml:space="preserve"> </w:t>
      </w:r>
      <w:r w:rsidR="00FD6443">
        <w:t xml:space="preserve">Vat &amp; Tax </w:t>
      </w:r>
      <w:r>
        <w:t>a</w:t>
      </w:r>
      <w:r w:rsidR="00FD6443">
        <w:t xml:space="preserve">s per government rules of Bangladesh.  </w:t>
      </w:r>
    </w:p>
    <w:p w14:paraId="0DEEF7C7" w14:textId="77777777" w:rsidR="001505E6" w:rsidRDefault="001505E6" w:rsidP="008155C9">
      <w:pPr>
        <w:autoSpaceDE w:val="0"/>
        <w:autoSpaceDN w:val="0"/>
        <w:adjustRightInd w:val="0"/>
        <w:spacing w:after="0" w:line="240" w:lineRule="auto"/>
        <w:jc w:val="both"/>
        <w:rPr>
          <w:rFonts w:cstheme="minorHAnsi"/>
        </w:rPr>
      </w:pPr>
    </w:p>
    <w:p w14:paraId="13B101DA" w14:textId="5E1828B4" w:rsidR="00165BED" w:rsidRPr="00C91B1C" w:rsidRDefault="00165BED" w:rsidP="00C91B1C">
      <w:pPr>
        <w:pStyle w:val="ListParagraph"/>
        <w:numPr>
          <w:ilvl w:val="0"/>
          <w:numId w:val="21"/>
        </w:numPr>
        <w:spacing w:after="0" w:line="240" w:lineRule="auto"/>
        <w:rPr>
          <w:rFonts w:cstheme="minorHAnsi"/>
          <w:b/>
          <w:bCs/>
          <w:sz w:val="22"/>
          <w:szCs w:val="22"/>
        </w:rPr>
      </w:pPr>
      <w:r w:rsidRPr="00C91B1C">
        <w:rPr>
          <w:rFonts w:cstheme="minorHAnsi"/>
          <w:b/>
          <w:bCs/>
          <w:sz w:val="22"/>
          <w:szCs w:val="22"/>
        </w:rPr>
        <w:t>How to Apply</w:t>
      </w:r>
    </w:p>
    <w:p w14:paraId="08A0C3FE" w14:textId="1DEF0F04" w:rsidR="00165BED" w:rsidRPr="008155C9" w:rsidRDefault="00165BED" w:rsidP="008155C9">
      <w:pPr>
        <w:autoSpaceDE w:val="0"/>
        <w:autoSpaceDN w:val="0"/>
        <w:adjustRightInd w:val="0"/>
        <w:spacing w:after="0" w:line="240" w:lineRule="auto"/>
        <w:jc w:val="both"/>
        <w:rPr>
          <w:rFonts w:eastAsia="Calibri" w:cstheme="minorHAnsi"/>
        </w:rPr>
      </w:pPr>
      <w:r w:rsidRPr="008155C9">
        <w:rPr>
          <w:rFonts w:eastAsia="Calibri" w:cstheme="minorHAnsi"/>
        </w:rPr>
        <w:t xml:space="preserve">The individual/ firm must submit the following documents along with technical and financial proposal (including </w:t>
      </w:r>
      <w:r w:rsidR="00E86430">
        <w:rPr>
          <w:rFonts w:eastAsia="Calibri" w:cstheme="minorHAnsi"/>
        </w:rPr>
        <w:t>VAT</w:t>
      </w:r>
      <w:r w:rsidRPr="008155C9">
        <w:rPr>
          <w:rFonts w:eastAsia="Calibri" w:cstheme="minorHAnsi"/>
        </w:rPr>
        <w:t xml:space="preserve"> &amp; </w:t>
      </w:r>
      <w:r w:rsidR="00E86430">
        <w:rPr>
          <w:rFonts w:eastAsia="Calibri" w:cstheme="minorHAnsi"/>
        </w:rPr>
        <w:t>Tax</w:t>
      </w:r>
      <w:r w:rsidR="00E86430" w:rsidRPr="008155C9">
        <w:rPr>
          <w:rFonts w:eastAsia="Calibri" w:cstheme="minorHAnsi"/>
        </w:rPr>
        <w:t>) and the</w:t>
      </w:r>
      <w:r w:rsidRPr="008155C9">
        <w:rPr>
          <w:rFonts w:eastAsia="Calibri" w:cstheme="minorHAnsi"/>
        </w:rPr>
        <w:t xml:space="preserve"> financial proposal should include 15% </w:t>
      </w:r>
      <w:r w:rsidR="00E86430">
        <w:rPr>
          <w:rFonts w:eastAsia="Calibri" w:cstheme="minorHAnsi"/>
        </w:rPr>
        <w:t>VAT</w:t>
      </w:r>
      <w:r w:rsidRPr="008155C9">
        <w:rPr>
          <w:rFonts w:eastAsia="Calibri" w:cstheme="minorHAnsi"/>
        </w:rPr>
        <w:t xml:space="preserve"> only. </w:t>
      </w:r>
      <w:r w:rsidR="00E11AE3" w:rsidRPr="008155C9">
        <w:rPr>
          <w:rFonts w:eastAsia="Calibri" w:cstheme="minorHAnsi"/>
        </w:rPr>
        <w:t>THP</w:t>
      </w:r>
      <w:r w:rsidRPr="008155C9">
        <w:rPr>
          <w:rFonts w:eastAsia="Calibri" w:cstheme="minorHAnsi"/>
        </w:rPr>
        <w:t xml:space="preserve"> will deduct 10% income tax at source from the agreed consultancy amount. The proposal should be in English. The technical and financial proposal should be submitted in two separate envelopes. These two envelopes are then to be put in </w:t>
      </w:r>
      <w:r w:rsidR="00833F18" w:rsidRPr="008155C9">
        <w:rPr>
          <w:rFonts w:eastAsia="Calibri" w:cstheme="minorHAnsi"/>
        </w:rPr>
        <w:t xml:space="preserve">Tender box </w:t>
      </w:r>
      <w:r w:rsidRPr="008155C9">
        <w:rPr>
          <w:rFonts w:eastAsia="Calibri" w:cstheme="minorHAnsi"/>
        </w:rPr>
        <w:t xml:space="preserve">which must be sealed with a cover letter addressing the </w:t>
      </w:r>
      <w:r w:rsidR="00833F18" w:rsidRPr="008155C9">
        <w:rPr>
          <w:rFonts w:eastAsia="Calibri" w:cstheme="minorHAnsi"/>
        </w:rPr>
        <w:t>Country</w:t>
      </w:r>
      <w:r w:rsidRPr="008155C9">
        <w:rPr>
          <w:rFonts w:eastAsia="Calibri" w:cstheme="minorHAnsi"/>
        </w:rPr>
        <w:t xml:space="preserve"> Director, </w:t>
      </w:r>
      <w:r w:rsidR="00833F18" w:rsidRPr="008155C9">
        <w:rPr>
          <w:rFonts w:eastAsia="Calibri" w:cstheme="minorHAnsi"/>
        </w:rPr>
        <w:t>The Hunger Project Bangladesh</w:t>
      </w:r>
      <w:r w:rsidRPr="008155C9">
        <w:rPr>
          <w:rFonts w:eastAsia="Calibri" w:cstheme="minorHAnsi"/>
        </w:rPr>
        <w:t xml:space="preserve">, </w:t>
      </w:r>
      <w:r w:rsidR="00833F18" w:rsidRPr="008155C9">
        <w:rPr>
          <w:rFonts w:cstheme="minorHAnsi"/>
        </w:rPr>
        <w:t>Her</w:t>
      </w:r>
      <w:r w:rsidR="00400E46" w:rsidRPr="008155C9">
        <w:rPr>
          <w:rFonts w:cstheme="minorHAnsi"/>
        </w:rPr>
        <w:t>a</w:t>
      </w:r>
      <w:r w:rsidR="00833F18" w:rsidRPr="008155C9">
        <w:rPr>
          <w:rFonts w:cstheme="minorHAnsi"/>
        </w:rPr>
        <w:t xml:space="preserve">ldic Heights, </w:t>
      </w:r>
      <w:r w:rsidR="00400E46" w:rsidRPr="008155C9">
        <w:rPr>
          <w:rFonts w:eastAsia="Calibri" w:cstheme="minorHAnsi"/>
        </w:rPr>
        <w:t>2/2,</w:t>
      </w:r>
      <w:r w:rsidR="00400E46" w:rsidRPr="008155C9">
        <w:rPr>
          <w:rFonts w:cstheme="minorHAnsi"/>
        </w:rPr>
        <w:t xml:space="preserve"> </w:t>
      </w:r>
      <w:r w:rsidR="006928BB" w:rsidRPr="008155C9">
        <w:rPr>
          <w:rFonts w:cstheme="minorHAnsi"/>
        </w:rPr>
        <w:t>Level-7, Block-A, Mohammadpur,</w:t>
      </w:r>
      <w:r w:rsidRPr="008155C9">
        <w:rPr>
          <w:rFonts w:cstheme="minorHAnsi"/>
        </w:rPr>
        <w:t xml:space="preserve"> Dhaka-120</w:t>
      </w:r>
      <w:r w:rsidR="006928BB" w:rsidRPr="008155C9">
        <w:rPr>
          <w:rFonts w:cstheme="minorHAnsi"/>
        </w:rPr>
        <w:t>7</w:t>
      </w:r>
      <w:r w:rsidRPr="008155C9">
        <w:rPr>
          <w:rFonts w:eastAsia="Calibri" w:cstheme="minorHAnsi"/>
        </w:rPr>
        <w:t xml:space="preserve">. The proposal </w:t>
      </w:r>
      <w:r w:rsidR="004A7080" w:rsidRPr="008155C9">
        <w:rPr>
          <w:rFonts w:eastAsia="Calibri" w:cstheme="minorHAnsi"/>
        </w:rPr>
        <w:t>is to</w:t>
      </w:r>
      <w:r w:rsidRPr="008155C9">
        <w:rPr>
          <w:rFonts w:eastAsia="Calibri" w:cstheme="minorHAnsi"/>
        </w:rPr>
        <w:t xml:space="preserve"> be submitted at </w:t>
      </w:r>
      <w:r w:rsidR="00452247" w:rsidRPr="008155C9">
        <w:rPr>
          <w:rFonts w:eastAsia="Calibri" w:cstheme="minorHAnsi"/>
        </w:rPr>
        <w:t>THP</w:t>
      </w:r>
      <w:r w:rsidR="004A7080">
        <w:rPr>
          <w:rFonts w:eastAsia="Calibri" w:cstheme="minorHAnsi"/>
        </w:rPr>
        <w:t xml:space="preserve"> </w:t>
      </w:r>
      <w:r w:rsidR="00452247" w:rsidRPr="008155C9">
        <w:rPr>
          <w:rFonts w:eastAsia="Calibri" w:cstheme="minorHAnsi"/>
        </w:rPr>
        <w:t>B</w:t>
      </w:r>
      <w:r w:rsidR="004A7080">
        <w:rPr>
          <w:rFonts w:eastAsia="Calibri" w:cstheme="minorHAnsi"/>
        </w:rPr>
        <w:t xml:space="preserve">angladesh </w:t>
      </w:r>
      <w:r w:rsidRPr="008155C9">
        <w:rPr>
          <w:rFonts w:eastAsia="Calibri" w:cstheme="minorHAnsi"/>
        </w:rPr>
        <w:t xml:space="preserve">office </w:t>
      </w:r>
      <w:r w:rsidR="009F2D08" w:rsidRPr="008155C9">
        <w:rPr>
          <w:rFonts w:eastAsia="Calibri" w:cstheme="minorHAnsi"/>
        </w:rPr>
        <w:t>no</w:t>
      </w:r>
      <w:r w:rsidRPr="008155C9">
        <w:rPr>
          <w:rFonts w:eastAsia="Calibri" w:cstheme="minorHAnsi"/>
        </w:rPr>
        <w:t xml:space="preserve"> </w:t>
      </w:r>
      <w:r w:rsidRPr="009F2D08">
        <w:rPr>
          <w:rFonts w:eastAsia="Calibri" w:cstheme="minorHAnsi"/>
          <w:shd w:val="clear" w:color="auto" w:fill="FFFF00"/>
        </w:rPr>
        <w:t xml:space="preserve">later than </w:t>
      </w:r>
      <w:r w:rsidR="00B31546">
        <w:rPr>
          <w:rFonts w:eastAsia="Calibri" w:cstheme="minorHAnsi"/>
          <w:shd w:val="clear" w:color="auto" w:fill="FFFF00"/>
        </w:rPr>
        <w:t>1</w:t>
      </w:r>
      <w:r w:rsidR="00FE0615">
        <w:rPr>
          <w:rFonts w:eastAsia="Calibri" w:cstheme="minorHAnsi"/>
          <w:shd w:val="clear" w:color="auto" w:fill="FFFF00"/>
        </w:rPr>
        <w:t>8</w:t>
      </w:r>
      <w:r w:rsidR="00516B97" w:rsidRPr="009F2D08">
        <w:rPr>
          <w:rFonts w:eastAsia="Calibri" w:cstheme="minorHAnsi"/>
          <w:shd w:val="clear" w:color="auto" w:fill="FFFF00"/>
        </w:rPr>
        <w:t xml:space="preserve"> </w:t>
      </w:r>
      <w:r w:rsidR="00452247" w:rsidRPr="009F2D08">
        <w:rPr>
          <w:rFonts w:eastAsia="Calibri" w:cstheme="minorHAnsi"/>
          <w:highlight w:val="yellow"/>
          <w:shd w:val="clear" w:color="auto" w:fill="FFFF00"/>
        </w:rPr>
        <w:t>June</w:t>
      </w:r>
      <w:r w:rsidRPr="009F2D08">
        <w:rPr>
          <w:rFonts w:eastAsia="Calibri" w:cstheme="minorHAnsi"/>
          <w:highlight w:val="yellow"/>
          <w:shd w:val="clear" w:color="auto" w:fill="FFFF00"/>
        </w:rPr>
        <w:t>, 20</w:t>
      </w:r>
      <w:r w:rsidR="00452247" w:rsidRPr="009F2D08">
        <w:rPr>
          <w:rFonts w:eastAsia="Calibri" w:cstheme="minorHAnsi"/>
          <w:highlight w:val="yellow"/>
          <w:shd w:val="clear" w:color="auto" w:fill="FFFF00"/>
        </w:rPr>
        <w:t>26</w:t>
      </w:r>
      <w:r w:rsidRPr="009F2D08">
        <w:rPr>
          <w:rFonts w:eastAsia="Calibri" w:cstheme="minorHAnsi"/>
          <w:highlight w:val="yellow"/>
          <w:shd w:val="clear" w:color="auto" w:fill="FFFF00"/>
        </w:rPr>
        <w:t>.</w:t>
      </w:r>
    </w:p>
    <w:p w14:paraId="1A8B98CE" w14:textId="77777777" w:rsidR="00165BED" w:rsidRPr="008155C9" w:rsidRDefault="00165BED" w:rsidP="008155C9">
      <w:pPr>
        <w:autoSpaceDE w:val="0"/>
        <w:autoSpaceDN w:val="0"/>
        <w:adjustRightInd w:val="0"/>
        <w:spacing w:after="0" w:line="240" w:lineRule="auto"/>
        <w:jc w:val="both"/>
        <w:rPr>
          <w:rFonts w:eastAsia="Calibri" w:cstheme="minorHAnsi"/>
        </w:rPr>
      </w:pPr>
    </w:p>
    <w:p w14:paraId="7871CCC8" w14:textId="72D15BE9" w:rsidR="00165BED" w:rsidRPr="00801107" w:rsidRDefault="00165BED" w:rsidP="00801107">
      <w:pPr>
        <w:spacing w:after="0" w:line="240" w:lineRule="auto"/>
        <w:rPr>
          <w:rFonts w:ascii="Calibri" w:eastAsia="Times New Roman" w:hAnsi="Calibri" w:cstheme="minorHAnsi"/>
          <w:b/>
          <w:bCs/>
        </w:rPr>
      </w:pPr>
      <w:r w:rsidRPr="00801107">
        <w:rPr>
          <w:rFonts w:ascii="Calibri" w:eastAsia="Times New Roman" w:hAnsi="Calibri" w:cstheme="minorHAnsi"/>
          <w:b/>
          <w:bCs/>
        </w:rPr>
        <w:t xml:space="preserve">For </w:t>
      </w:r>
      <w:r w:rsidR="00C91B1C" w:rsidRPr="00801107">
        <w:rPr>
          <w:rFonts w:cstheme="minorHAnsi"/>
          <w:b/>
          <w:bCs/>
        </w:rPr>
        <w:t xml:space="preserve">Consultancy </w:t>
      </w:r>
      <w:r w:rsidRPr="00801107">
        <w:rPr>
          <w:rFonts w:ascii="Calibri" w:eastAsia="Times New Roman" w:hAnsi="Calibri" w:cstheme="minorHAnsi"/>
          <w:b/>
          <w:bCs/>
        </w:rPr>
        <w:t>Firm</w:t>
      </w:r>
    </w:p>
    <w:p w14:paraId="40CA0C78" w14:textId="02011BD8" w:rsidR="00165BED" w:rsidRPr="008155C9" w:rsidRDefault="00165BED" w:rsidP="008155C9">
      <w:pPr>
        <w:pStyle w:val="ListParagraph"/>
        <w:numPr>
          <w:ilvl w:val="0"/>
          <w:numId w:val="5"/>
        </w:numPr>
        <w:autoSpaceDE w:val="0"/>
        <w:autoSpaceDN w:val="0"/>
        <w:adjustRightInd w:val="0"/>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 xml:space="preserve">Minimum </w:t>
      </w:r>
      <w:r w:rsidR="00EF3846" w:rsidRPr="008155C9">
        <w:rPr>
          <w:rFonts w:asciiTheme="minorHAnsi" w:hAnsiTheme="minorHAnsi" w:cstheme="minorHAnsi"/>
          <w:sz w:val="22"/>
          <w:szCs w:val="22"/>
        </w:rPr>
        <w:t>2-page</w:t>
      </w:r>
      <w:r w:rsidRPr="008155C9">
        <w:rPr>
          <w:rFonts w:asciiTheme="minorHAnsi" w:hAnsiTheme="minorHAnsi" w:cstheme="minorHAnsi"/>
          <w:sz w:val="22"/>
          <w:szCs w:val="22"/>
        </w:rPr>
        <w:t xml:space="preserve"> profile highlighting related assignment completed with client name,</w:t>
      </w:r>
      <w:r w:rsidR="00516B97">
        <w:rPr>
          <w:rFonts w:asciiTheme="minorHAnsi" w:hAnsiTheme="minorHAnsi" w:cstheme="minorHAnsi"/>
          <w:sz w:val="22"/>
          <w:szCs w:val="22"/>
        </w:rPr>
        <w:t xml:space="preserve"> contact</w:t>
      </w:r>
      <w:r w:rsidRPr="008155C9">
        <w:rPr>
          <w:rFonts w:asciiTheme="minorHAnsi" w:hAnsiTheme="minorHAnsi" w:cstheme="minorHAnsi"/>
          <w:sz w:val="22"/>
          <w:szCs w:val="22"/>
        </w:rPr>
        <w:t xml:space="preserve"> person and mobile number. </w:t>
      </w:r>
    </w:p>
    <w:p w14:paraId="224D1C28" w14:textId="75598E52" w:rsidR="00165BED" w:rsidRPr="008155C9" w:rsidRDefault="00165BED" w:rsidP="008155C9">
      <w:pPr>
        <w:pStyle w:val="ListParagraph"/>
        <w:numPr>
          <w:ilvl w:val="0"/>
          <w:numId w:val="5"/>
        </w:numPr>
        <w:autoSpaceDE w:val="0"/>
        <w:autoSpaceDN w:val="0"/>
        <w:adjustRightInd w:val="0"/>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 xml:space="preserve">Lead consultant’s (who will lead the assignment) maximum </w:t>
      </w:r>
      <w:r w:rsidR="00EF3846" w:rsidRPr="008155C9">
        <w:rPr>
          <w:rFonts w:asciiTheme="minorHAnsi" w:hAnsiTheme="minorHAnsi" w:cstheme="minorHAnsi"/>
          <w:sz w:val="22"/>
          <w:szCs w:val="22"/>
        </w:rPr>
        <w:t>2-page</w:t>
      </w:r>
      <w:r w:rsidRPr="008155C9">
        <w:rPr>
          <w:rFonts w:asciiTheme="minorHAnsi" w:hAnsiTheme="minorHAnsi" w:cstheme="minorHAnsi"/>
          <w:sz w:val="22"/>
          <w:szCs w:val="22"/>
        </w:rPr>
        <w:t xml:space="preserve"> CV highlighting related assignment completed, role in the completed assignment.</w:t>
      </w:r>
    </w:p>
    <w:p w14:paraId="033DE5BB" w14:textId="07B5D8CD" w:rsidR="00165BED" w:rsidRPr="008155C9" w:rsidRDefault="00165BED" w:rsidP="008155C9">
      <w:pPr>
        <w:pStyle w:val="ListParagraph"/>
        <w:numPr>
          <w:ilvl w:val="0"/>
          <w:numId w:val="5"/>
        </w:numPr>
        <w:autoSpaceDE w:val="0"/>
        <w:autoSpaceDN w:val="0"/>
        <w:adjustRightInd w:val="0"/>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 xml:space="preserve">Other team member (who will </w:t>
      </w:r>
      <w:r w:rsidR="00EF3846" w:rsidRPr="008155C9">
        <w:rPr>
          <w:rFonts w:asciiTheme="minorHAnsi" w:hAnsiTheme="minorHAnsi" w:cstheme="minorHAnsi"/>
          <w:sz w:val="22"/>
          <w:szCs w:val="22"/>
        </w:rPr>
        <w:t xml:space="preserve">be involved </w:t>
      </w:r>
      <w:r w:rsidRPr="008155C9">
        <w:rPr>
          <w:rFonts w:asciiTheme="minorHAnsi" w:hAnsiTheme="minorHAnsi" w:cstheme="minorHAnsi"/>
          <w:sz w:val="22"/>
          <w:szCs w:val="22"/>
        </w:rPr>
        <w:t>in the assignment on one paragraph sheet CV highlighting related assignment completed and role.</w:t>
      </w:r>
    </w:p>
    <w:p w14:paraId="78A2D713" w14:textId="664AF16F" w:rsidR="00165BED" w:rsidRPr="008155C9" w:rsidRDefault="00165BED" w:rsidP="008155C9">
      <w:pPr>
        <w:pStyle w:val="ListParagraph"/>
        <w:numPr>
          <w:ilvl w:val="0"/>
          <w:numId w:val="6"/>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 xml:space="preserve">Firms certificate, </w:t>
      </w:r>
      <w:r w:rsidR="00EF3846" w:rsidRPr="008155C9">
        <w:rPr>
          <w:rFonts w:asciiTheme="minorHAnsi" w:hAnsiTheme="minorHAnsi" w:cstheme="minorHAnsi"/>
          <w:sz w:val="22"/>
          <w:szCs w:val="22"/>
        </w:rPr>
        <w:t xml:space="preserve">TIN </w:t>
      </w:r>
      <w:r w:rsidRPr="008155C9">
        <w:rPr>
          <w:rFonts w:asciiTheme="minorHAnsi" w:hAnsiTheme="minorHAnsi" w:cstheme="minorHAnsi"/>
          <w:sz w:val="22"/>
          <w:szCs w:val="22"/>
        </w:rPr>
        <w:t>and VAT registration</w:t>
      </w:r>
      <w:r w:rsidR="00EF3846" w:rsidRPr="008155C9">
        <w:rPr>
          <w:rFonts w:asciiTheme="minorHAnsi" w:hAnsiTheme="minorHAnsi" w:cstheme="minorHAnsi"/>
          <w:sz w:val="22"/>
          <w:szCs w:val="22"/>
        </w:rPr>
        <w:t xml:space="preserve"> certificate</w:t>
      </w:r>
      <w:r w:rsidR="004459FB" w:rsidRPr="008155C9">
        <w:rPr>
          <w:rFonts w:asciiTheme="minorHAnsi" w:hAnsiTheme="minorHAnsi" w:cstheme="minorHAnsi"/>
          <w:sz w:val="22"/>
          <w:szCs w:val="22"/>
        </w:rPr>
        <w:t>, TIN certificates, last submission of tax return and trade license of the firm shall be submitted along with the proposal.</w:t>
      </w:r>
    </w:p>
    <w:p w14:paraId="763EC5FD" w14:textId="641D1BAB" w:rsidR="007D722A" w:rsidRPr="008155C9" w:rsidRDefault="007D722A" w:rsidP="008155C9">
      <w:pPr>
        <w:pStyle w:val="ListParagraph"/>
        <w:numPr>
          <w:ilvl w:val="0"/>
          <w:numId w:val="5"/>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 xml:space="preserve">Detailed Financial proposal (listing a </w:t>
      </w:r>
      <w:r w:rsidR="00EF3846" w:rsidRPr="008155C9">
        <w:rPr>
          <w:rFonts w:asciiTheme="minorHAnsi" w:hAnsiTheme="minorHAnsi" w:cstheme="minorHAnsi"/>
          <w:sz w:val="22"/>
          <w:szCs w:val="22"/>
        </w:rPr>
        <w:t>breakdown</w:t>
      </w:r>
      <w:r w:rsidRPr="008155C9">
        <w:rPr>
          <w:rFonts w:asciiTheme="minorHAnsi" w:hAnsiTheme="minorHAnsi" w:cstheme="minorHAnsi"/>
          <w:sz w:val="22"/>
          <w:szCs w:val="22"/>
        </w:rPr>
        <w:t xml:space="preserve"> of costs for all activities)</w:t>
      </w:r>
    </w:p>
    <w:p w14:paraId="613E6455" w14:textId="77777777" w:rsidR="007D722A" w:rsidRPr="008155C9" w:rsidRDefault="007D722A" w:rsidP="008155C9">
      <w:pPr>
        <w:pStyle w:val="ListParagraph"/>
        <w:numPr>
          <w:ilvl w:val="0"/>
          <w:numId w:val="5"/>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Three references</w:t>
      </w:r>
    </w:p>
    <w:p w14:paraId="319C0099" w14:textId="77777777" w:rsidR="007D722A" w:rsidRPr="008155C9" w:rsidRDefault="007D722A" w:rsidP="008155C9">
      <w:pPr>
        <w:pStyle w:val="ListParagraph"/>
        <w:numPr>
          <w:ilvl w:val="0"/>
          <w:numId w:val="5"/>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List of similar assignments carried out in the past three years, including the names of clients.</w:t>
      </w:r>
    </w:p>
    <w:p w14:paraId="4A60BD86" w14:textId="77777777" w:rsidR="007D722A" w:rsidRDefault="007D722A" w:rsidP="008155C9">
      <w:pPr>
        <w:pStyle w:val="ListParagraph"/>
        <w:autoSpaceDE w:val="0"/>
        <w:autoSpaceDN w:val="0"/>
        <w:adjustRightInd w:val="0"/>
        <w:spacing w:after="0" w:line="240" w:lineRule="auto"/>
        <w:jc w:val="both"/>
        <w:rPr>
          <w:rFonts w:asciiTheme="minorHAnsi" w:hAnsiTheme="minorHAnsi" w:cstheme="minorHAnsi"/>
          <w:sz w:val="22"/>
          <w:szCs w:val="22"/>
        </w:rPr>
      </w:pPr>
    </w:p>
    <w:p w14:paraId="1A183C72" w14:textId="77777777" w:rsidR="004277F3" w:rsidRDefault="004277F3" w:rsidP="008155C9">
      <w:pPr>
        <w:pStyle w:val="ListParagraph"/>
        <w:autoSpaceDE w:val="0"/>
        <w:autoSpaceDN w:val="0"/>
        <w:adjustRightInd w:val="0"/>
        <w:spacing w:after="0" w:line="240" w:lineRule="auto"/>
        <w:jc w:val="both"/>
        <w:rPr>
          <w:rFonts w:asciiTheme="minorHAnsi" w:hAnsiTheme="minorHAnsi" w:cstheme="minorHAnsi"/>
          <w:sz w:val="22"/>
          <w:szCs w:val="22"/>
        </w:rPr>
      </w:pPr>
    </w:p>
    <w:p w14:paraId="09FD52B9" w14:textId="77777777" w:rsidR="004277F3" w:rsidRPr="008155C9" w:rsidRDefault="004277F3" w:rsidP="008155C9">
      <w:pPr>
        <w:pStyle w:val="ListParagraph"/>
        <w:autoSpaceDE w:val="0"/>
        <w:autoSpaceDN w:val="0"/>
        <w:adjustRightInd w:val="0"/>
        <w:spacing w:after="0" w:line="240" w:lineRule="auto"/>
        <w:jc w:val="both"/>
        <w:rPr>
          <w:rFonts w:asciiTheme="minorHAnsi" w:hAnsiTheme="minorHAnsi" w:cstheme="minorHAnsi"/>
          <w:sz w:val="22"/>
          <w:szCs w:val="22"/>
        </w:rPr>
      </w:pPr>
    </w:p>
    <w:p w14:paraId="232E7D9B" w14:textId="63888EF2" w:rsidR="00165BED" w:rsidRPr="00801107" w:rsidRDefault="00165BED" w:rsidP="00801107">
      <w:pPr>
        <w:spacing w:after="0" w:line="240" w:lineRule="auto"/>
        <w:rPr>
          <w:rFonts w:ascii="Calibri" w:hAnsi="Calibri" w:cstheme="minorHAnsi"/>
          <w:b/>
          <w:bCs/>
        </w:rPr>
      </w:pPr>
      <w:r w:rsidRPr="00801107">
        <w:rPr>
          <w:rFonts w:ascii="Calibri" w:hAnsi="Calibri" w:cstheme="minorHAnsi"/>
          <w:b/>
          <w:bCs/>
        </w:rPr>
        <w:t xml:space="preserve">For </w:t>
      </w:r>
      <w:r w:rsidR="00C91B1C" w:rsidRPr="00801107">
        <w:rPr>
          <w:rFonts w:cstheme="minorHAnsi"/>
          <w:b/>
          <w:bCs/>
        </w:rPr>
        <w:t>Individual Consultant</w:t>
      </w:r>
    </w:p>
    <w:p w14:paraId="49955B81" w14:textId="4BBB61FC" w:rsidR="00165BED" w:rsidRPr="008155C9" w:rsidRDefault="00165BED" w:rsidP="008155C9">
      <w:pPr>
        <w:pStyle w:val="ListParagraph"/>
        <w:numPr>
          <w:ilvl w:val="0"/>
          <w:numId w:val="6"/>
        </w:numPr>
        <w:autoSpaceDE w:val="0"/>
        <w:autoSpaceDN w:val="0"/>
        <w:adjustRightInd w:val="0"/>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 xml:space="preserve">Maximum </w:t>
      </w:r>
      <w:r w:rsidR="00EF3846" w:rsidRPr="008155C9">
        <w:rPr>
          <w:rFonts w:asciiTheme="minorHAnsi" w:hAnsiTheme="minorHAnsi" w:cstheme="minorHAnsi"/>
          <w:sz w:val="22"/>
          <w:szCs w:val="22"/>
        </w:rPr>
        <w:t>2-page</w:t>
      </w:r>
      <w:r w:rsidRPr="008155C9">
        <w:rPr>
          <w:rFonts w:asciiTheme="minorHAnsi" w:hAnsiTheme="minorHAnsi" w:cstheme="minorHAnsi"/>
          <w:sz w:val="22"/>
          <w:szCs w:val="22"/>
        </w:rPr>
        <w:t xml:space="preserve"> profile highlighting related assignment completed with client name, contact person and mobile number along with related CV.</w:t>
      </w:r>
    </w:p>
    <w:p w14:paraId="01E4468C" w14:textId="77777777" w:rsidR="00165BED" w:rsidRPr="008155C9" w:rsidRDefault="00165BED" w:rsidP="008155C9">
      <w:pPr>
        <w:pStyle w:val="ListParagraph"/>
        <w:numPr>
          <w:ilvl w:val="0"/>
          <w:numId w:val="6"/>
        </w:numPr>
        <w:autoSpaceDE w:val="0"/>
        <w:autoSpaceDN w:val="0"/>
        <w:adjustRightInd w:val="0"/>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TIN certificate and any other document (if necessary)</w:t>
      </w:r>
    </w:p>
    <w:p w14:paraId="361F3AFB" w14:textId="77777777" w:rsidR="007D722A" w:rsidRPr="008155C9" w:rsidRDefault="007D722A" w:rsidP="008155C9">
      <w:pPr>
        <w:pStyle w:val="ListParagraph"/>
        <w:numPr>
          <w:ilvl w:val="0"/>
          <w:numId w:val="6"/>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Detailed Financial proposal (listing a break-down of costs for all activities)</w:t>
      </w:r>
    </w:p>
    <w:p w14:paraId="672688B9" w14:textId="77777777" w:rsidR="007D722A" w:rsidRPr="008155C9" w:rsidRDefault="007D722A" w:rsidP="008155C9">
      <w:pPr>
        <w:pStyle w:val="ListParagraph"/>
        <w:numPr>
          <w:ilvl w:val="0"/>
          <w:numId w:val="6"/>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Three references</w:t>
      </w:r>
    </w:p>
    <w:p w14:paraId="4C57FD5E" w14:textId="77777777" w:rsidR="007D722A" w:rsidRPr="008155C9" w:rsidRDefault="007D722A" w:rsidP="008155C9">
      <w:pPr>
        <w:pStyle w:val="ListParagraph"/>
        <w:numPr>
          <w:ilvl w:val="0"/>
          <w:numId w:val="6"/>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List of similar assignments carried out in the past three years, including the names of clients.</w:t>
      </w:r>
    </w:p>
    <w:p w14:paraId="669FE905" w14:textId="77777777" w:rsidR="007D722A" w:rsidRPr="008155C9" w:rsidRDefault="007D722A" w:rsidP="008155C9">
      <w:pPr>
        <w:pStyle w:val="ListParagraph"/>
        <w:numPr>
          <w:ilvl w:val="0"/>
          <w:numId w:val="6"/>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Evidence of independence of the Consultant/ Reviewer</w:t>
      </w:r>
    </w:p>
    <w:p w14:paraId="1FBB57E9" w14:textId="6AACFFE7" w:rsidR="007D722A" w:rsidRPr="008155C9" w:rsidRDefault="007D722A" w:rsidP="008155C9">
      <w:pPr>
        <w:pStyle w:val="ListParagraph"/>
        <w:numPr>
          <w:ilvl w:val="0"/>
          <w:numId w:val="6"/>
        </w:numPr>
        <w:spacing w:after="0" w:line="240" w:lineRule="auto"/>
        <w:jc w:val="both"/>
        <w:rPr>
          <w:rFonts w:asciiTheme="minorHAnsi" w:hAnsiTheme="minorHAnsi" w:cstheme="minorHAnsi"/>
          <w:sz w:val="22"/>
          <w:szCs w:val="22"/>
        </w:rPr>
      </w:pPr>
      <w:r w:rsidRPr="008155C9">
        <w:rPr>
          <w:rFonts w:asciiTheme="minorHAnsi" w:hAnsiTheme="minorHAnsi" w:cstheme="minorHAnsi"/>
          <w:sz w:val="22"/>
          <w:szCs w:val="22"/>
        </w:rPr>
        <w:t xml:space="preserve">Copy of the legal document like -VAT (BIN), TIN certificates, last submission of tax return </w:t>
      </w:r>
      <w:r w:rsidR="004459FB" w:rsidRPr="008155C9">
        <w:rPr>
          <w:rFonts w:asciiTheme="minorHAnsi" w:hAnsiTheme="minorHAnsi" w:cstheme="minorHAnsi"/>
          <w:sz w:val="22"/>
          <w:szCs w:val="22"/>
        </w:rPr>
        <w:t>s</w:t>
      </w:r>
      <w:r w:rsidRPr="008155C9">
        <w:rPr>
          <w:rFonts w:asciiTheme="minorHAnsi" w:hAnsiTheme="minorHAnsi" w:cstheme="minorHAnsi"/>
          <w:sz w:val="22"/>
          <w:szCs w:val="22"/>
        </w:rPr>
        <w:t>hall be submitted along with the proposal.</w:t>
      </w:r>
    </w:p>
    <w:p w14:paraId="3F4ADD79" w14:textId="77777777" w:rsidR="007D722A" w:rsidRPr="008155C9" w:rsidRDefault="007D722A" w:rsidP="008155C9">
      <w:pPr>
        <w:pStyle w:val="ListParagraph"/>
        <w:autoSpaceDE w:val="0"/>
        <w:autoSpaceDN w:val="0"/>
        <w:adjustRightInd w:val="0"/>
        <w:spacing w:after="0" w:line="240" w:lineRule="auto"/>
        <w:jc w:val="both"/>
        <w:rPr>
          <w:rFonts w:asciiTheme="minorHAnsi" w:hAnsiTheme="minorHAnsi" w:cstheme="minorHAnsi"/>
          <w:sz w:val="22"/>
          <w:szCs w:val="22"/>
        </w:rPr>
      </w:pPr>
    </w:p>
    <w:p w14:paraId="3557B24E" w14:textId="085984DC" w:rsidR="00165BED" w:rsidRPr="00C91B1C" w:rsidRDefault="00165BED" w:rsidP="00C91B1C">
      <w:pPr>
        <w:pStyle w:val="ListParagraph"/>
        <w:numPr>
          <w:ilvl w:val="0"/>
          <w:numId w:val="21"/>
        </w:numPr>
        <w:spacing w:after="0" w:line="240" w:lineRule="auto"/>
        <w:rPr>
          <w:rFonts w:cstheme="minorHAnsi"/>
          <w:b/>
          <w:bCs/>
          <w:sz w:val="22"/>
          <w:szCs w:val="22"/>
        </w:rPr>
      </w:pPr>
      <w:r w:rsidRPr="00C91B1C">
        <w:rPr>
          <w:rFonts w:cstheme="minorHAnsi"/>
          <w:b/>
          <w:bCs/>
          <w:sz w:val="22"/>
          <w:szCs w:val="22"/>
        </w:rPr>
        <w:t>Contact Person</w:t>
      </w:r>
    </w:p>
    <w:p w14:paraId="00601F0D" w14:textId="5C76CA98" w:rsidR="00165BED" w:rsidRPr="008155C9" w:rsidRDefault="00801107" w:rsidP="008155C9">
      <w:pPr>
        <w:autoSpaceDE w:val="0"/>
        <w:autoSpaceDN w:val="0"/>
        <w:adjustRightInd w:val="0"/>
        <w:spacing w:after="0" w:line="240" w:lineRule="auto"/>
        <w:jc w:val="both"/>
        <w:rPr>
          <w:rFonts w:cstheme="minorHAnsi"/>
        </w:rPr>
      </w:pPr>
      <w:r>
        <w:rPr>
          <w:rFonts w:cstheme="minorHAnsi"/>
        </w:rPr>
        <w:t xml:space="preserve">Ms. </w:t>
      </w:r>
      <w:r w:rsidR="00165BED" w:rsidRPr="008155C9">
        <w:rPr>
          <w:rFonts w:cstheme="minorHAnsi"/>
        </w:rPr>
        <w:t xml:space="preserve">Ambica Roy, </w:t>
      </w:r>
      <w:r w:rsidR="00FC0B5B" w:rsidRPr="008155C9">
        <w:rPr>
          <w:rFonts w:cstheme="minorHAnsi"/>
        </w:rPr>
        <w:t>Project Manager</w:t>
      </w:r>
      <w:r w:rsidR="00165BED" w:rsidRPr="008155C9">
        <w:rPr>
          <w:rFonts w:cstheme="minorHAnsi"/>
        </w:rPr>
        <w:t xml:space="preserve">, </w:t>
      </w:r>
      <w:r w:rsidR="00FC0B5B" w:rsidRPr="008155C9">
        <w:rPr>
          <w:rFonts w:cstheme="minorHAnsi"/>
        </w:rPr>
        <w:t>BMZ</w:t>
      </w:r>
      <w:r w:rsidR="00165BED" w:rsidRPr="008155C9">
        <w:rPr>
          <w:rFonts w:cstheme="minorHAnsi"/>
        </w:rPr>
        <w:t xml:space="preserve"> project, </w:t>
      </w:r>
      <w:r w:rsidR="00FC0B5B" w:rsidRPr="008155C9">
        <w:rPr>
          <w:rFonts w:cstheme="minorHAnsi"/>
        </w:rPr>
        <w:t>The Hunger Project Bangladesh</w:t>
      </w:r>
      <w:r>
        <w:rPr>
          <w:rFonts w:cstheme="minorHAnsi"/>
        </w:rPr>
        <w:t xml:space="preserve">, email: </w:t>
      </w:r>
      <w:hyperlink r:id="rId14" w:history="1">
        <w:r w:rsidRPr="00A703E0">
          <w:rPr>
            <w:rStyle w:val="Hyperlink"/>
            <w:rFonts w:cstheme="minorHAnsi"/>
          </w:rPr>
          <w:t>ambica.roy@thp.org</w:t>
        </w:r>
      </w:hyperlink>
      <w:r>
        <w:rPr>
          <w:rFonts w:cstheme="minorHAnsi"/>
        </w:rPr>
        <w:t xml:space="preserve"> </w:t>
      </w:r>
      <w:r w:rsidR="00165BED" w:rsidRPr="008155C9">
        <w:rPr>
          <w:rFonts w:cstheme="minorHAnsi"/>
        </w:rPr>
        <w:t xml:space="preserve">will be the contact person for this assignment. </w:t>
      </w:r>
    </w:p>
    <w:p w14:paraId="0293D87E" w14:textId="77777777" w:rsidR="00165BED" w:rsidRPr="008155C9" w:rsidRDefault="00165BED" w:rsidP="008155C9">
      <w:pPr>
        <w:pStyle w:val="ListParagraph"/>
        <w:autoSpaceDE w:val="0"/>
        <w:autoSpaceDN w:val="0"/>
        <w:adjustRightInd w:val="0"/>
        <w:spacing w:after="0" w:line="240" w:lineRule="auto"/>
        <w:ind w:left="0"/>
        <w:jc w:val="both"/>
        <w:rPr>
          <w:rFonts w:asciiTheme="minorHAnsi" w:hAnsiTheme="minorHAnsi" w:cstheme="minorHAnsi"/>
          <w:sz w:val="22"/>
          <w:szCs w:val="22"/>
        </w:rPr>
      </w:pPr>
    </w:p>
    <w:p w14:paraId="7CE51809" w14:textId="6D4A9521" w:rsidR="00165BED" w:rsidRPr="00C91B1C" w:rsidRDefault="00165BED" w:rsidP="00C91B1C">
      <w:pPr>
        <w:pStyle w:val="ListParagraph"/>
        <w:numPr>
          <w:ilvl w:val="0"/>
          <w:numId w:val="21"/>
        </w:numPr>
        <w:spacing w:after="0" w:line="240" w:lineRule="auto"/>
        <w:rPr>
          <w:rFonts w:cstheme="minorHAnsi"/>
          <w:b/>
          <w:bCs/>
          <w:sz w:val="22"/>
          <w:szCs w:val="22"/>
        </w:rPr>
      </w:pPr>
      <w:r w:rsidRPr="00C91B1C">
        <w:rPr>
          <w:rFonts w:cstheme="minorHAnsi"/>
          <w:b/>
          <w:bCs/>
          <w:sz w:val="22"/>
          <w:szCs w:val="22"/>
        </w:rPr>
        <w:t xml:space="preserve">Ownership and </w:t>
      </w:r>
      <w:r w:rsidR="00EF3846" w:rsidRPr="00C91B1C">
        <w:rPr>
          <w:rFonts w:cstheme="minorHAnsi"/>
          <w:b/>
          <w:bCs/>
          <w:sz w:val="22"/>
          <w:szCs w:val="22"/>
        </w:rPr>
        <w:t xml:space="preserve">Intellectual </w:t>
      </w:r>
      <w:r w:rsidRPr="00C91B1C">
        <w:rPr>
          <w:rFonts w:cstheme="minorHAnsi"/>
          <w:b/>
          <w:bCs/>
          <w:sz w:val="22"/>
          <w:szCs w:val="22"/>
        </w:rPr>
        <w:t>Property</w:t>
      </w:r>
    </w:p>
    <w:p w14:paraId="0F8470F7" w14:textId="2B2A5986" w:rsidR="00801107" w:rsidRPr="00801107" w:rsidRDefault="00801107" w:rsidP="00801107">
      <w:pPr>
        <w:spacing w:after="0" w:line="240" w:lineRule="auto"/>
        <w:jc w:val="both"/>
        <w:rPr>
          <w:rFonts w:cstheme="minorHAnsi"/>
        </w:rPr>
      </w:pPr>
      <w:r w:rsidRPr="00801107">
        <w:rPr>
          <w:rFonts w:cstheme="minorHAnsi"/>
        </w:rPr>
        <w:t>THP Bangladesh shall have full ownership of all documents, data and outputs produced under this assignment. All information, findings, datasets and the final report may be used by THP Bangladesh for further research, advocacy, publication and donor reporting.</w:t>
      </w:r>
    </w:p>
    <w:p w14:paraId="66EE7D15" w14:textId="77777777" w:rsidR="00801107" w:rsidRPr="00801107" w:rsidRDefault="00801107" w:rsidP="00801107">
      <w:pPr>
        <w:spacing w:after="0" w:line="240" w:lineRule="auto"/>
        <w:jc w:val="both"/>
        <w:rPr>
          <w:rFonts w:cstheme="minorHAnsi"/>
        </w:rPr>
      </w:pPr>
    </w:p>
    <w:p w14:paraId="66418829" w14:textId="12B93D61" w:rsidR="00801107" w:rsidRPr="00801107" w:rsidRDefault="00801107" w:rsidP="00801107">
      <w:pPr>
        <w:spacing w:after="0" w:line="240" w:lineRule="auto"/>
        <w:jc w:val="both"/>
        <w:rPr>
          <w:rFonts w:cstheme="minorHAnsi"/>
        </w:rPr>
      </w:pPr>
      <w:r w:rsidRPr="00801107">
        <w:rPr>
          <w:rFonts w:cstheme="minorHAnsi"/>
        </w:rPr>
        <w:t>THP Germany (Das Hunger Projekt e.V.) shall also have full access and rights to use the final baseline report and anonymized dataset for the purposes of project monitoring, donor reporting to BMZ and organizational learning.</w:t>
      </w:r>
    </w:p>
    <w:p w14:paraId="7B117E8F" w14:textId="77777777" w:rsidR="00801107" w:rsidRPr="00801107" w:rsidRDefault="00801107" w:rsidP="00801107">
      <w:pPr>
        <w:spacing w:after="0" w:line="240" w:lineRule="auto"/>
        <w:jc w:val="both"/>
        <w:rPr>
          <w:rFonts w:cstheme="minorHAnsi"/>
        </w:rPr>
      </w:pPr>
    </w:p>
    <w:p w14:paraId="7A27A8E1" w14:textId="5CD01E6C" w:rsidR="00A90B19" w:rsidRPr="008155C9" w:rsidRDefault="00801107" w:rsidP="00801107">
      <w:pPr>
        <w:spacing w:after="0" w:line="240" w:lineRule="auto"/>
        <w:jc w:val="both"/>
        <w:rPr>
          <w:rFonts w:eastAsia="Times New Roman" w:cstheme="minorHAnsi"/>
          <w:b/>
          <w:bCs/>
          <w:highlight w:val="white"/>
        </w:rPr>
      </w:pPr>
      <w:r w:rsidRPr="00801107">
        <w:rPr>
          <w:rFonts w:cstheme="minorHAnsi"/>
        </w:rPr>
        <w:t xml:space="preserve">Copyright of all information, findings and the final report </w:t>
      </w:r>
      <w:r w:rsidR="00465D58" w:rsidRPr="00801107">
        <w:rPr>
          <w:rFonts w:cstheme="minorHAnsi"/>
        </w:rPr>
        <w:t>remain</w:t>
      </w:r>
      <w:r w:rsidRPr="00801107">
        <w:rPr>
          <w:rFonts w:cstheme="minorHAnsi"/>
        </w:rPr>
        <w:t xml:space="preserve"> with THP Bangladesh. The consultant shall not publish, share or otherwise disseminate any findings, data or materials from this assignment without the prior written approval of THP Bangladesh.</w:t>
      </w:r>
    </w:p>
    <w:sectPr w:rsidR="00A90B19" w:rsidRPr="008155C9" w:rsidSect="000A0622">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0D0A" w14:textId="77777777" w:rsidR="00FE745D" w:rsidRDefault="00FE745D" w:rsidP="00E66FA4">
      <w:pPr>
        <w:spacing w:after="0" w:line="240" w:lineRule="auto"/>
      </w:pPr>
      <w:r>
        <w:separator/>
      </w:r>
    </w:p>
  </w:endnote>
  <w:endnote w:type="continuationSeparator" w:id="0">
    <w:p w14:paraId="020A754D" w14:textId="77777777" w:rsidR="00FE745D" w:rsidRDefault="00FE745D" w:rsidP="00E6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30675990"/>
      <w:docPartObj>
        <w:docPartGallery w:val="Page Numbers (Bottom of Page)"/>
        <w:docPartUnique/>
      </w:docPartObj>
    </w:sdtPr>
    <w:sdtContent>
      <w:p w14:paraId="2A1937F7" w14:textId="77777777" w:rsidR="00EF0B2E" w:rsidRPr="000A0622" w:rsidRDefault="00EF0B2E">
        <w:pPr>
          <w:pStyle w:val="Footer"/>
          <w:jc w:val="right"/>
          <w:rPr>
            <w:sz w:val="20"/>
            <w:szCs w:val="20"/>
          </w:rPr>
        </w:pPr>
        <w:r w:rsidRPr="000A0622">
          <w:rPr>
            <w:sz w:val="20"/>
            <w:szCs w:val="20"/>
          </w:rPr>
          <w:t xml:space="preserve">Page | </w:t>
        </w:r>
        <w:r w:rsidRPr="000A0622">
          <w:rPr>
            <w:sz w:val="20"/>
            <w:szCs w:val="20"/>
          </w:rPr>
          <w:fldChar w:fldCharType="begin"/>
        </w:r>
        <w:r w:rsidRPr="000A0622">
          <w:rPr>
            <w:sz w:val="20"/>
            <w:szCs w:val="20"/>
          </w:rPr>
          <w:instrText xml:space="preserve"> PAGE   \* MERGEFORMAT </w:instrText>
        </w:r>
        <w:r w:rsidRPr="000A0622">
          <w:rPr>
            <w:sz w:val="20"/>
            <w:szCs w:val="20"/>
          </w:rPr>
          <w:fldChar w:fldCharType="separate"/>
        </w:r>
        <w:r w:rsidRPr="000A0622">
          <w:rPr>
            <w:noProof/>
            <w:sz w:val="20"/>
            <w:szCs w:val="20"/>
          </w:rPr>
          <w:t>2</w:t>
        </w:r>
        <w:r w:rsidRPr="000A0622">
          <w:rPr>
            <w:noProof/>
            <w:sz w:val="20"/>
            <w:szCs w:val="20"/>
          </w:rPr>
          <w:fldChar w:fldCharType="end"/>
        </w:r>
        <w:r w:rsidRPr="000A0622">
          <w:rPr>
            <w:sz w:val="20"/>
            <w:szCs w:val="20"/>
          </w:rPr>
          <w:t xml:space="preserve"> </w:t>
        </w:r>
      </w:p>
    </w:sdtContent>
  </w:sdt>
  <w:p w14:paraId="2484BEF2" w14:textId="77777777" w:rsidR="00EF0B2E" w:rsidRPr="000A0622" w:rsidRDefault="00EF0B2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D815" w14:textId="77777777" w:rsidR="00FE745D" w:rsidRDefault="00FE745D" w:rsidP="00E66FA4">
      <w:pPr>
        <w:spacing w:after="0" w:line="240" w:lineRule="auto"/>
      </w:pPr>
      <w:r>
        <w:separator/>
      </w:r>
    </w:p>
  </w:footnote>
  <w:footnote w:type="continuationSeparator" w:id="0">
    <w:p w14:paraId="71B6E1FC" w14:textId="77777777" w:rsidR="00FE745D" w:rsidRDefault="00FE745D" w:rsidP="00E66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13.2pt;height:13.8pt" coordsize="" o:spt="100" o:bullet="t" adj="0,,0" path="" stroked="f">
        <v:stroke joinstyle="miter"/>
        <v:imagedata r:id="rId1" o:title="image26"/>
        <v:formulas/>
        <v:path o:connecttype="segments"/>
      </v:shape>
    </w:pict>
  </w:numPicBullet>
  <w:numPicBullet w:numPicBulletId="1">
    <w:pict>
      <v:shape id="_x0000_i1026" style="width:10.8pt;height:4.8pt" coordsize="" o:spt="100" o:bullet="t" adj="0,,0" path="" stroked="f">
        <v:stroke joinstyle="miter"/>
        <v:imagedata r:id="rId2" o:title="image24"/>
        <v:formulas/>
        <v:path o:connecttype="segments"/>
      </v:shape>
    </w:pict>
  </w:numPicBullet>
  <w:abstractNum w:abstractNumId="0" w15:restartNumberingAfterBreak="0">
    <w:nsid w:val="F3FEA76E"/>
    <w:multiLevelType w:val="hybridMultilevel"/>
    <w:tmpl w:val="15189C86"/>
    <w:lvl w:ilvl="0" w:tplc="4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7E3476"/>
    <w:multiLevelType w:val="hybridMultilevel"/>
    <w:tmpl w:val="C09A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17BC4"/>
    <w:multiLevelType w:val="hybridMultilevel"/>
    <w:tmpl w:val="20466290"/>
    <w:lvl w:ilvl="0" w:tplc="4809000F">
      <w:start w:val="6"/>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2F60A79"/>
    <w:multiLevelType w:val="hybridMultilevel"/>
    <w:tmpl w:val="0382057C"/>
    <w:lvl w:ilvl="0" w:tplc="DFF0A318">
      <w:start w:val="1"/>
      <w:numFmt w:val="bullet"/>
      <w:lvlText w:val="•"/>
      <w:lvlPicBulletId w:val="0"/>
      <w:lvlJc w:val="left"/>
      <w:pPr>
        <w:ind w:left="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F239EA">
      <w:start w:val="1"/>
      <w:numFmt w:val="bullet"/>
      <w:lvlText w:val="o"/>
      <w:lvlJc w:val="left"/>
      <w:pPr>
        <w:ind w:left="17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06B554">
      <w:start w:val="1"/>
      <w:numFmt w:val="bullet"/>
      <w:lvlText w:val="▪"/>
      <w:lvlJc w:val="left"/>
      <w:pPr>
        <w:ind w:left="2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DA9898">
      <w:start w:val="1"/>
      <w:numFmt w:val="bullet"/>
      <w:lvlText w:val="•"/>
      <w:lvlJc w:val="left"/>
      <w:pPr>
        <w:ind w:left="31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40881C">
      <w:start w:val="1"/>
      <w:numFmt w:val="bullet"/>
      <w:lvlText w:val="o"/>
      <w:lvlJc w:val="left"/>
      <w:pPr>
        <w:ind w:left="3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587446">
      <w:start w:val="1"/>
      <w:numFmt w:val="bullet"/>
      <w:lvlText w:val="▪"/>
      <w:lvlJc w:val="left"/>
      <w:pPr>
        <w:ind w:left="46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FA2BF6">
      <w:start w:val="1"/>
      <w:numFmt w:val="bullet"/>
      <w:lvlText w:val="•"/>
      <w:lvlJc w:val="left"/>
      <w:pPr>
        <w:ind w:left="5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C4AC24">
      <w:start w:val="1"/>
      <w:numFmt w:val="bullet"/>
      <w:lvlText w:val="o"/>
      <w:lvlJc w:val="left"/>
      <w:pPr>
        <w:ind w:left="6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E9A70">
      <w:start w:val="1"/>
      <w:numFmt w:val="bullet"/>
      <w:lvlText w:val="▪"/>
      <w:lvlJc w:val="left"/>
      <w:pPr>
        <w:ind w:left="6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C72F0A"/>
    <w:multiLevelType w:val="hybridMultilevel"/>
    <w:tmpl w:val="B362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54E1E"/>
    <w:multiLevelType w:val="hybridMultilevel"/>
    <w:tmpl w:val="8B689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422BA"/>
    <w:multiLevelType w:val="hybridMultilevel"/>
    <w:tmpl w:val="F976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37E43"/>
    <w:multiLevelType w:val="hybridMultilevel"/>
    <w:tmpl w:val="302434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EB250E"/>
    <w:multiLevelType w:val="hybridMultilevel"/>
    <w:tmpl w:val="7FD469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1392556"/>
    <w:multiLevelType w:val="hybridMultilevel"/>
    <w:tmpl w:val="05B09796"/>
    <w:lvl w:ilvl="0" w:tplc="92347AE4">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802AB3"/>
    <w:multiLevelType w:val="hybridMultilevel"/>
    <w:tmpl w:val="7DDC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45DC7"/>
    <w:multiLevelType w:val="hybridMultilevel"/>
    <w:tmpl w:val="C0B4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F5887"/>
    <w:multiLevelType w:val="hybridMultilevel"/>
    <w:tmpl w:val="1DDC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072BB"/>
    <w:multiLevelType w:val="hybridMultilevel"/>
    <w:tmpl w:val="966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62342"/>
    <w:multiLevelType w:val="hybridMultilevel"/>
    <w:tmpl w:val="B5D42146"/>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5" w15:restartNumberingAfterBreak="0">
    <w:nsid w:val="4D476548"/>
    <w:multiLevelType w:val="hybridMultilevel"/>
    <w:tmpl w:val="AA6C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84ADA"/>
    <w:multiLevelType w:val="hybridMultilevel"/>
    <w:tmpl w:val="A5AC385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584C1718"/>
    <w:multiLevelType w:val="hybridMultilevel"/>
    <w:tmpl w:val="32D22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E775448"/>
    <w:multiLevelType w:val="hybridMultilevel"/>
    <w:tmpl w:val="45CADA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ABE36E2"/>
    <w:multiLevelType w:val="hybridMultilevel"/>
    <w:tmpl w:val="9AEE1858"/>
    <w:lvl w:ilvl="0" w:tplc="35683CA8">
      <w:start w:val="1"/>
      <w:numFmt w:val="bullet"/>
      <w:lvlText w:val="•"/>
      <w:lvlPicBulletId w:val="1"/>
      <w:lvlJc w:val="left"/>
      <w:pPr>
        <w:ind w:left="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8E49A4">
      <w:start w:val="1"/>
      <w:numFmt w:val="bullet"/>
      <w:lvlText w:val="o"/>
      <w:lvlJc w:val="left"/>
      <w:pPr>
        <w:ind w:left="1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481FD2">
      <w:start w:val="1"/>
      <w:numFmt w:val="bullet"/>
      <w:lvlText w:val="▪"/>
      <w:lvlJc w:val="left"/>
      <w:pPr>
        <w:ind w:left="2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F28510">
      <w:start w:val="1"/>
      <w:numFmt w:val="bullet"/>
      <w:lvlText w:val="•"/>
      <w:lvlJc w:val="left"/>
      <w:pPr>
        <w:ind w:left="3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B06532">
      <w:start w:val="1"/>
      <w:numFmt w:val="bullet"/>
      <w:lvlText w:val="o"/>
      <w:lvlJc w:val="left"/>
      <w:pPr>
        <w:ind w:left="3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B8496C">
      <w:start w:val="1"/>
      <w:numFmt w:val="bullet"/>
      <w:lvlText w:val="▪"/>
      <w:lvlJc w:val="left"/>
      <w:pPr>
        <w:ind w:left="4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96B0AA">
      <w:start w:val="1"/>
      <w:numFmt w:val="bullet"/>
      <w:lvlText w:val="•"/>
      <w:lvlJc w:val="left"/>
      <w:pPr>
        <w:ind w:left="5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BCD746">
      <w:start w:val="1"/>
      <w:numFmt w:val="bullet"/>
      <w:lvlText w:val="o"/>
      <w:lvlJc w:val="left"/>
      <w:pPr>
        <w:ind w:left="6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32DD90">
      <w:start w:val="1"/>
      <w:numFmt w:val="bullet"/>
      <w:lvlText w:val="▪"/>
      <w:lvlJc w:val="left"/>
      <w:pPr>
        <w:ind w:left="6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86622ED"/>
    <w:multiLevelType w:val="hybridMultilevel"/>
    <w:tmpl w:val="51A6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2FCF"/>
    <w:multiLevelType w:val="hybridMultilevel"/>
    <w:tmpl w:val="9FA64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B33CD"/>
    <w:multiLevelType w:val="hybridMultilevel"/>
    <w:tmpl w:val="DF6A6BB0"/>
    <w:lvl w:ilvl="0" w:tplc="48090017">
      <w:start w:val="1"/>
      <w:numFmt w:val="lowerLetter"/>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start w:val="1"/>
      <w:numFmt w:val="decimal"/>
      <w:lvlText w:val="%4."/>
      <w:lvlJc w:val="left"/>
      <w:pPr>
        <w:ind w:left="135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069419299">
    <w:abstractNumId w:val="14"/>
  </w:num>
  <w:num w:numId="2" w16cid:durableId="2002923514">
    <w:abstractNumId w:val="9"/>
  </w:num>
  <w:num w:numId="3" w16cid:durableId="1021933446">
    <w:abstractNumId w:val="0"/>
  </w:num>
  <w:num w:numId="4" w16cid:durableId="84308585">
    <w:abstractNumId w:val="13"/>
  </w:num>
  <w:num w:numId="5" w16cid:durableId="582104623">
    <w:abstractNumId w:val="12"/>
  </w:num>
  <w:num w:numId="6" w16cid:durableId="760685571">
    <w:abstractNumId w:val="6"/>
  </w:num>
  <w:num w:numId="7" w16cid:durableId="1477330674">
    <w:abstractNumId w:val="22"/>
  </w:num>
  <w:num w:numId="8" w16cid:durableId="1082024942">
    <w:abstractNumId w:val="5"/>
  </w:num>
  <w:num w:numId="9" w16cid:durableId="1140348283">
    <w:abstractNumId w:val="7"/>
  </w:num>
  <w:num w:numId="10" w16cid:durableId="141118637">
    <w:abstractNumId w:val="17"/>
  </w:num>
  <w:num w:numId="11" w16cid:durableId="354037029">
    <w:abstractNumId w:val="2"/>
  </w:num>
  <w:num w:numId="12" w16cid:durableId="1949965064">
    <w:abstractNumId w:val="8"/>
  </w:num>
  <w:num w:numId="13" w16cid:durableId="740831434">
    <w:abstractNumId w:val="3"/>
  </w:num>
  <w:num w:numId="14" w16cid:durableId="200821443">
    <w:abstractNumId w:val="19"/>
  </w:num>
  <w:num w:numId="15" w16cid:durableId="1152988403">
    <w:abstractNumId w:val="21"/>
  </w:num>
  <w:num w:numId="16" w16cid:durableId="1509366925">
    <w:abstractNumId w:val="4"/>
  </w:num>
  <w:num w:numId="17" w16cid:durableId="343673467">
    <w:abstractNumId w:val="10"/>
  </w:num>
  <w:num w:numId="18" w16cid:durableId="1655068512">
    <w:abstractNumId w:val="16"/>
  </w:num>
  <w:num w:numId="19" w16cid:durableId="1446731245">
    <w:abstractNumId w:val="1"/>
  </w:num>
  <w:num w:numId="20" w16cid:durableId="312758715">
    <w:abstractNumId w:val="11"/>
  </w:num>
  <w:num w:numId="21" w16cid:durableId="322204428">
    <w:abstractNumId w:val="18"/>
  </w:num>
  <w:num w:numId="22" w16cid:durableId="1754624282">
    <w:abstractNumId w:val="15"/>
  </w:num>
  <w:num w:numId="23" w16cid:durableId="13918075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D0"/>
    <w:rsid w:val="00003BF0"/>
    <w:rsid w:val="000059BE"/>
    <w:rsid w:val="00012E15"/>
    <w:rsid w:val="00030DC6"/>
    <w:rsid w:val="00030FA4"/>
    <w:rsid w:val="00032871"/>
    <w:rsid w:val="00055EB4"/>
    <w:rsid w:val="00077DCC"/>
    <w:rsid w:val="000801EA"/>
    <w:rsid w:val="0008790D"/>
    <w:rsid w:val="00094266"/>
    <w:rsid w:val="00095DFB"/>
    <w:rsid w:val="000A0622"/>
    <w:rsid w:val="000C4243"/>
    <w:rsid w:val="000D4E48"/>
    <w:rsid w:val="000E1534"/>
    <w:rsid w:val="000F710F"/>
    <w:rsid w:val="00110DEF"/>
    <w:rsid w:val="00120C49"/>
    <w:rsid w:val="0012274D"/>
    <w:rsid w:val="00134802"/>
    <w:rsid w:val="001505E6"/>
    <w:rsid w:val="00155397"/>
    <w:rsid w:val="001567E3"/>
    <w:rsid w:val="00163262"/>
    <w:rsid w:val="00165BED"/>
    <w:rsid w:val="00172B5D"/>
    <w:rsid w:val="001937B9"/>
    <w:rsid w:val="00195070"/>
    <w:rsid w:val="001A2335"/>
    <w:rsid w:val="001A7690"/>
    <w:rsid w:val="001B1581"/>
    <w:rsid w:val="001B633D"/>
    <w:rsid w:val="001D7A74"/>
    <w:rsid w:val="001F482E"/>
    <w:rsid w:val="001F4E3A"/>
    <w:rsid w:val="001F5B13"/>
    <w:rsid w:val="001F67A1"/>
    <w:rsid w:val="002151FE"/>
    <w:rsid w:val="0021704C"/>
    <w:rsid w:val="00225D85"/>
    <w:rsid w:val="00233EA2"/>
    <w:rsid w:val="00236004"/>
    <w:rsid w:val="00237B1E"/>
    <w:rsid w:val="00250C9C"/>
    <w:rsid w:val="00263099"/>
    <w:rsid w:val="002643EB"/>
    <w:rsid w:val="00270178"/>
    <w:rsid w:val="002833B2"/>
    <w:rsid w:val="00290229"/>
    <w:rsid w:val="002A351C"/>
    <w:rsid w:val="002B3EC0"/>
    <w:rsid w:val="002D2B19"/>
    <w:rsid w:val="002E250F"/>
    <w:rsid w:val="002E3648"/>
    <w:rsid w:val="002E3839"/>
    <w:rsid w:val="00304B94"/>
    <w:rsid w:val="00305F3B"/>
    <w:rsid w:val="00306D58"/>
    <w:rsid w:val="0030767A"/>
    <w:rsid w:val="00311CD2"/>
    <w:rsid w:val="003129DB"/>
    <w:rsid w:val="00320422"/>
    <w:rsid w:val="0032423E"/>
    <w:rsid w:val="003242D6"/>
    <w:rsid w:val="00342882"/>
    <w:rsid w:val="00346FFF"/>
    <w:rsid w:val="003643AD"/>
    <w:rsid w:val="00381259"/>
    <w:rsid w:val="00381281"/>
    <w:rsid w:val="00385250"/>
    <w:rsid w:val="003861CA"/>
    <w:rsid w:val="00387CBF"/>
    <w:rsid w:val="003A16A7"/>
    <w:rsid w:val="003B6141"/>
    <w:rsid w:val="003C51D4"/>
    <w:rsid w:val="003D6517"/>
    <w:rsid w:val="003D663F"/>
    <w:rsid w:val="003E46B0"/>
    <w:rsid w:val="00400E46"/>
    <w:rsid w:val="004031A4"/>
    <w:rsid w:val="00406925"/>
    <w:rsid w:val="00413B46"/>
    <w:rsid w:val="00413BEA"/>
    <w:rsid w:val="00417CCD"/>
    <w:rsid w:val="00420076"/>
    <w:rsid w:val="004277F3"/>
    <w:rsid w:val="00431056"/>
    <w:rsid w:val="004459FB"/>
    <w:rsid w:val="00451300"/>
    <w:rsid w:val="00452247"/>
    <w:rsid w:val="004560D2"/>
    <w:rsid w:val="00463059"/>
    <w:rsid w:val="00465D58"/>
    <w:rsid w:val="00480472"/>
    <w:rsid w:val="00480B35"/>
    <w:rsid w:val="004958AA"/>
    <w:rsid w:val="004A2C9C"/>
    <w:rsid w:val="004A439F"/>
    <w:rsid w:val="004A7080"/>
    <w:rsid w:val="004B5F40"/>
    <w:rsid w:val="004B733A"/>
    <w:rsid w:val="004D0C08"/>
    <w:rsid w:val="004D2572"/>
    <w:rsid w:val="004E24AD"/>
    <w:rsid w:val="004F1917"/>
    <w:rsid w:val="004F2AC9"/>
    <w:rsid w:val="00500CF6"/>
    <w:rsid w:val="00512539"/>
    <w:rsid w:val="0051307F"/>
    <w:rsid w:val="00514900"/>
    <w:rsid w:val="00515678"/>
    <w:rsid w:val="00516B97"/>
    <w:rsid w:val="005326B6"/>
    <w:rsid w:val="00535948"/>
    <w:rsid w:val="005359B7"/>
    <w:rsid w:val="00553B70"/>
    <w:rsid w:val="0055774D"/>
    <w:rsid w:val="0056338A"/>
    <w:rsid w:val="00567DA8"/>
    <w:rsid w:val="005745D0"/>
    <w:rsid w:val="005A010B"/>
    <w:rsid w:val="005A605A"/>
    <w:rsid w:val="005B1435"/>
    <w:rsid w:val="005B31C3"/>
    <w:rsid w:val="005C1DBD"/>
    <w:rsid w:val="005D47ED"/>
    <w:rsid w:val="005E47A1"/>
    <w:rsid w:val="005F38FB"/>
    <w:rsid w:val="005F498F"/>
    <w:rsid w:val="005F7EC5"/>
    <w:rsid w:val="00613FC3"/>
    <w:rsid w:val="00614780"/>
    <w:rsid w:val="00621DCD"/>
    <w:rsid w:val="006235C8"/>
    <w:rsid w:val="006311AF"/>
    <w:rsid w:val="0063500B"/>
    <w:rsid w:val="0064221A"/>
    <w:rsid w:val="00646016"/>
    <w:rsid w:val="00650B97"/>
    <w:rsid w:val="00665B2B"/>
    <w:rsid w:val="00665ED5"/>
    <w:rsid w:val="00666412"/>
    <w:rsid w:val="0067061D"/>
    <w:rsid w:val="006928BB"/>
    <w:rsid w:val="006928F5"/>
    <w:rsid w:val="00697662"/>
    <w:rsid w:val="006B1C5D"/>
    <w:rsid w:val="006B3FB5"/>
    <w:rsid w:val="006C03D5"/>
    <w:rsid w:val="006C2677"/>
    <w:rsid w:val="006E0269"/>
    <w:rsid w:val="007019AF"/>
    <w:rsid w:val="00705C15"/>
    <w:rsid w:val="0070727A"/>
    <w:rsid w:val="00712472"/>
    <w:rsid w:val="00720454"/>
    <w:rsid w:val="00721F2D"/>
    <w:rsid w:val="007240DA"/>
    <w:rsid w:val="00724B9D"/>
    <w:rsid w:val="00725811"/>
    <w:rsid w:val="00726188"/>
    <w:rsid w:val="007309AE"/>
    <w:rsid w:val="00736467"/>
    <w:rsid w:val="007456E5"/>
    <w:rsid w:val="00756984"/>
    <w:rsid w:val="00757A2E"/>
    <w:rsid w:val="00762CFB"/>
    <w:rsid w:val="00764A90"/>
    <w:rsid w:val="00767FC0"/>
    <w:rsid w:val="007C6549"/>
    <w:rsid w:val="007D2C41"/>
    <w:rsid w:val="007D3183"/>
    <w:rsid w:val="007D5C3C"/>
    <w:rsid w:val="007D722A"/>
    <w:rsid w:val="007D78F1"/>
    <w:rsid w:val="007F28EC"/>
    <w:rsid w:val="007F2EEB"/>
    <w:rsid w:val="007F372F"/>
    <w:rsid w:val="007F7C81"/>
    <w:rsid w:val="00800CD7"/>
    <w:rsid w:val="00801107"/>
    <w:rsid w:val="00810316"/>
    <w:rsid w:val="008155C9"/>
    <w:rsid w:val="00825E3E"/>
    <w:rsid w:val="00833F18"/>
    <w:rsid w:val="0083506D"/>
    <w:rsid w:val="00835F94"/>
    <w:rsid w:val="00837ED7"/>
    <w:rsid w:val="00841A0F"/>
    <w:rsid w:val="008530FA"/>
    <w:rsid w:val="00862B9B"/>
    <w:rsid w:val="00876AB5"/>
    <w:rsid w:val="00894FC8"/>
    <w:rsid w:val="00895E62"/>
    <w:rsid w:val="00897358"/>
    <w:rsid w:val="008A2AAC"/>
    <w:rsid w:val="008A53A7"/>
    <w:rsid w:val="008B4B2F"/>
    <w:rsid w:val="008B5A95"/>
    <w:rsid w:val="008B68B8"/>
    <w:rsid w:val="008C2BB7"/>
    <w:rsid w:val="008C3D90"/>
    <w:rsid w:val="008C66E3"/>
    <w:rsid w:val="008D01A1"/>
    <w:rsid w:val="008D07CB"/>
    <w:rsid w:val="008D4D7D"/>
    <w:rsid w:val="008D52BA"/>
    <w:rsid w:val="008D58A8"/>
    <w:rsid w:val="008D6EA2"/>
    <w:rsid w:val="009138B1"/>
    <w:rsid w:val="00917BFD"/>
    <w:rsid w:val="00923BC2"/>
    <w:rsid w:val="00927622"/>
    <w:rsid w:val="009322F5"/>
    <w:rsid w:val="00946A86"/>
    <w:rsid w:val="009522D0"/>
    <w:rsid w:val="0095623E"/>
    <w:rsid w:val="00957DB2"/>
    <w:rsid w:val="00963101"/>
    <w:rsid w:val="0098586E"/>
    <w:rsid w:val="00987317"/>
    <w:rsid w:val="009965D0"/>
    <w:rsid w:val="009A61A0"/>
    <w:rsid w:val="009C184E"/>
    <w:rsid w:val="009C3D44"/>
    <w:rsid w:val="009C5A25"/>
    <w:rsid w:val="009D7E1A"/>
    <w:rsid w:val="009E12E6"/>
    <w:rsid w:val="009F2D08"/>
    <w:rsid w:val="009F41D5"/>
    <w:rsid w:val="00A0060A"/>
    <w:rsid w:val="00A01D82"/>
    <w:rsid w:val="00A105B6"/>
    <w:rsid w:val="00A106C3"/>
    <w:rsid w:val="00A2113E"/>
    <w:rsid w:val="00A211A6"/>
    <w:rsid w:val="00A240BF"/>
    <w:rsid w:val="00A412AC"/>
    <w:rsid w:val="00A419EC"/>
    <w:rsid w:val="00A51D26"/>
    <w:rsid w:val="00A7021A"/>
    <w:rsid w:val="00A74D98"/>
    <w:rsid w:val="00A75BBD"/>
    <w:rsid w:val="00A8157C"/>
    <w:rsid w:val="00A90B19"/>
    <w:rsid w:val="00AB154F"/>
    <w:rsid w:val="00AB1D21"/>
    <w:rsid w:val="00AB298B"/>
    <w:rsid w:val="00AB533A"/>
    <w:rsid w:val="00AC019E"/>
    <w:rsid w:val="00AC129B"/>
    <w:rsid w:val="00AD1867"/>
    <w:rsid w:val="00AD424C"/>
    <w:rsid w:val="00AE3BB5"/>
    <w:rsid w:val="00AE47E2"/>
    <w:rsid w:val="00AE5123"/>
    <w:rsid w:val="00AF158D"/>
    <w:rsid w:val="00AF3346"/>
    <w:rsid w:val="00B00C0E"/>
    <w:rsid w:val="00B160B4"/>
    <w:rsid w:val="00B161D7"/>
    <w:rsid w:val="00B211EE"/>
    <w:rsid w:val="00B24DF4"/>
    <w:rsid w:val="00B27121"/>
    <w:rsid w:val="00B31546"/>
    <w:rsid w:val="00B36D71"/>
    <w:rsid w:val="00B530C7"/>
    <w:rsid w:val="00B56523"/>
    <w:rsid w:val="00B77EAA"/>
    <w:rsid w:val="00B91BBC"/>
    <w:rsid w:val="00B93633"/>
    <w:rsid w:val="00B96EC3"/>
    <w:rsid w:val="00BA50A1"/>
    <w:rsid w:val="00BA6F5D"/>
    <w:rsid w:val="00BB2C92"/>
    <w:rsid w:val="00BB2EAC"/>
    <w:rsid w:val="00BB739E"/>
    <w:rsid w:val="00BC218D"/>
    <w:rsid w:val="00BE05F7"/>
    <w:rsid w:val="00BE6A71"/>
    <w:rsid w:val="00BE76AC"/>
    <w:rsid w:val="00BF1D2A"/>
    <w:rsid w:val="00BF2D69"/>
    <w:rsid w:val="00C005DD"/>
    <w:rsid w:val="00C13B8D"/>
    <w:rsid w:val="00C24B03"/>
    <w:rsid w:val="00C3172A"/>
    <w:rsid w:val="00C403C3"/>
    <w:rsid w:val="00C51F4B"/>
    <w:rsid w:val="00C63507"/>
    <w:rsid w:val="00C73B41"/>
    <w:rsid w:val="00C804A8"/>
    <w:rsid w:val="00C87FE0"/>
    <w:rsid w:val="00C91B1C"/>
    <w:rsid w:val="00CB795D"/>
    <w:rsid w:val="00CB7E96"/>
    <w:rsid w:val="00CF0955"/>
    <w:rsid w:val="00CF1BB0"/>
    <w:rsid w:val="00CF2BA4"/>
    <w:rsid w:val="00D026B9"/>
    <w:rsid w:val="00D0418F"/>
    <w:rsid w:val="00D124B4"/>
    <w:rsid w:val="00D23452"/>
    <w:rsid w:val="00D30A02"/>
    <w:rsid w:val="00D33CA4"/>
    <w:rsid w:val="00D3725E"/>
    <w:rsid w:val="00D45910"/>
    <w:rsid w:val="00D611AF"/>
    <w:rsid w:val="00D622E0"/>
    <w:rsid w:val="00D66A33"/>
    <w:rsid w:val="00D66C5E"/>
    <w:rsid w:val="00D72425"/>
    <w:rsid w:val="00D740EB"/>
    <w:rsid w:val="00D776FA"/>
    <w:rsid w:val="00D8010D"/>
    <w:rsid w:val="00D80DCC"/>
    <w:rsid w:val="00D93A6B"/>
    <w:rsid w:val="00DB11F4"/>
    <w:rsid w:val="00DB2040"/>
    <w:rsid w:val="00DE01D5"/>
    <w:rsid w:val="00DF5E8E"/>
    <w:rsid w:val="00DF746D"/>
    <w:rsid w:val="00E11AE3"/>
    <w:rsid w:val="00E161F3"/>
    <w:rsid w:val="00E23632"/>
    <w:rsid w:val="00E26654"/>
    <w:rsid w:val="00E31270"/>
    <w:rsid w:val="00E3412C"/>
    <w:rsid w:val="00E3708D"/>
    <w:rsid w:val="00E56F39"/>
    <w:rsid w:val="00E66FA4"/>
    <w:rsid w:val="00E73825"/>
    <w:rsid w:val="00E76CBF"/>
    <w:rsid w:val="00E86430"/>
    <w:rsid w:val="00E91CD1"/>
    <w:rsid w:val="00EB068C"/>
    <w:rsid w:val="00EB4468"/>
    <w:rsid w:val="00EB4495"/>
    <w:rsid w:val="00EB7F15"/>
    <w:rsid w:val="00EC315F"/>
    <w:rsid w:val="00EC31A6"/>
    <w:rsid w:val="00EC3ED5"/>
    <w:rsid w:val="00ED59F7"/>
    <w:rsid w:val="00EE257A"/>
    <w:rsid w:val="00EE28BF"/>
    <w:rsid w:val="00EF0B2E"/>
    <w:rsid w:val="00EF3846"/>
    <w:rsid w:val="00EF716D"/>
    <w:rsid w:val="00F002D7"/>
    <w:rsid w:val="00F07974"/>
    <w:rsid w:val="00F21FD8"/>
    <w:rsid w:val="00F44F3F"/>
    <w:rsid w:val="00F47B24"/>
    <w:rsid w:val="00F53852"/>
    <w:rsid w:val="00F723D3"/>
    <w:rsid w:val="00F75CFE"/>
    <w:rsid w:val="00F768B2"/>
    <w:rsid w:val="00F82F24"/>
    <w:rsid w:val="00F85A57"/>
    <w:rsid w:val="00F866B3"/>
    <w:rsid w:val="00F90010"/>
    <w:rsid w:val="00F93376"/>
    <w:rsid w:val="00F9508E"/>
    <w:rsid w:val="00F977A0"/>
    <w:rsid w:val="00FA2C4B"/>
    <w:rsid w:val="00FA6D38"/>
    <w:rsid w:val="00FA779A"/>
    <w:rsid w:val="00FB154C"/>
    <w:rsid w:val="00FB4A5F"/>
    <w:rsid w:val="00FC0B5B"/>
    <w:rsid w:val="00FC23E7"/>
    <w:rsid w:val="00FD4339"/>
    <w:rsid w:val="00FD6443"/>
    <w:rsid w:val="00FE0615"/>
    <w:rsid w:val="00FE3B6B"/>
    <w:rsid w:val="00FE745D"/>
    <w:rsid w:val="00FF450A"/>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80DA"/>
  <w15:docId w15:val="{A1DB0C3D-F95C-4EF6-8889-8A7EFF46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D0"/>
  </w:style>
  <w:style w:type="paragraph" w:styleId="Heading1">
    <w:name w:val="heading 1"/>
    <w:basedOn w:val="Normal"/>
    <w:next w:val="Normal"/>
    <w:link w:val="Heading1Char"/>
    <w:uiPriority w:val="9"/>
    <w:qFormat/>
    <w:rsid w:val="00A90B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25E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76C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Tables,U 5"/>
    <w:basedOn w:val="Normal"/>
    <w:link w:val="ListParagraphChar"/>
    <w:uiPriority w:val="34"/>
    <w:qFormat/>
    <w:rsid w:val="005745D0"/>
    <w:pPr>
      <w:ind w:left="720"/>
      <w:contextualSpacing/>
    </w:pPr>
    <w:rPr>
      <w:rFonts w:ascii="Calibri" w:eastAsia="Times New Roman" w:hAnsi="Calibri" w:cs="Times New Roman"/>
      <w:sz w:val="20"/>
      <w:szCs w:val="20"/>
    </w:rPr>
  </w:style>
  <w:style w:type="character" w:customStyle="1" w:styleId="ListParagraphChar">
    <w:name w:val="List Paragraph Char"/>
    <w:aliases w:val="List Tables Char,U 5 Char"/>
    <w:link w:val="ListParagraph"/>
    <w:uiPriority w:val="34"/>
    <w:locked/>
    <w:rsid w:val="005745D0"/>
    <w:rPr>
      <w:rFonts w:ascii="Calibri" w:eastAsia="Times New Roman" w:hAnsi="Calibri" w:cs="Times New Roman"/>
      <w:sz w:val="20"/>
      <w:szCs w:val="20"/>
    </w:rPr>
  </w:style>
  <w:style w:type="paragraph" w:customStyle="1" w:styleId="Default">
    <w:name w:val="Default"/>
    <w:rsid w:val="005745D0"/>
    <w:pPr>
      <w:autoSpaceDE w:val="0"/>
      <w:autoSpaceDN w:val="0"/>
      <w:adjustRightInd w:val="0"/>
      <w:spacing w:after="0" w:line="240" w:lineRule="auto"/>
    </w:pPr>
    <w:rPr>
      <w:rFonts w:ascii="Calibri" w:hAnsi="Calibri" w:cs="Calibri"/>
      <w:color w:val="000000"/>
      <w:sz w:val="24"/>
      <w:szCs w:val="24"/>
    </w:rPr>
  </w:style>
  <w:style w:type="character" w:customStyle="1" w:styleId="y0nh2b">
    <w:name w:val="y0nh2b"/>
    <w:basedOn w:val="DefaultParagraphFont"/>
    <w:rsid w:val="006311AF"/>
  </w:style>
  <w:style w:type="character" w:styleId="Hyperlink">
    <w:name w:val="Hyperlink"/>
    <w:basedOn w:val="DefaultParagraphFont"/>
    <w:uiPriority w:val="99"/>
    <w:unhideWhenUsed/>
    <w:rsid w:val="006311AF"/>
    <w:rPr>
      <w:color w:val="0000FF"/>
      <w:u w:val="single"/>
    </w:rPr>
  </w:style>
  <w:style w:type="character" w:customStyle="1" w:styleId="Heading2Char">
    <w:name w:val="Heading 2 Char"/>
    <w:basedOn w:val="DefaultParagraphFont"/>
    <w:link w:val="Heading2"/>
    <w:uiPriority w:val="9"/>
    <w:rsid w:val="00825E3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25E3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66FA4"/>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E66FA4"/>
    <w:rPr>
      <w:kern w:val="2"/>
      <w:sz w:val="20"/>
      <w:szCs w:val="20"/>
      <w14:ligatures w14:val="standardContextual"/>
    </w:rPr>
  </w:style>
  <w:style w:type="character" w:styleId="FootnoteReference">
    <w:name w:val="footnote reference"/>
    <w:basedOn w:val="DefaultParagraphFont"/>
    <w:uiPriority w:val="99"/>
    <w:semiHidden/>
    <w:unhideWhenUsed/>
    <w:rsid w:val="00E66FA4"/>
    <w:rPr>
      <w:vertAlign w:val="superscript"/>
    </w:rPr>
  </w:style>
  <w:style w:type="character" w:customStyle="1" w:styleId="Heading3Char">
    <w:name w:val="Heading 3 Char"/>
    <w:basedOn w:val="DefaultParagraphFont"/>
    <w:link w:val="Heading3"/>
    <w:uiPriority w:val="9"/>
    <w:semiHidden/>
    <w:rsid w:val="00E76CBF"/>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E76CBF"/>
    <w:pPr>
      <w:spacing w:after="0" w:line="240" w:lineRule="auto"/>
    </w:pPr>
    <w:rPr>
      <w:rFonts w:ascii="Calibri" w:eastAsia="Calibri" w:hAnsi="Calibri"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90B19"/>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uiPriority w:val="99"/>
    <w:semiHidden/>
    <w:unhideWhenUsed/>
    <w:rsid w:val="00C24B03"/>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C24B03"/>
    <w:rPr>
      <w:rFonts w:ascii="Calibri" w:eastAsia="Calibri" w:hAnsi="Calibri" w:cs="Times New Roman"/>
      <w:sz w:val="16"/>
      <w:szCs w:val="16"/>
    </w:rPr>
  </w:style>
  <w:style w:type="character" w:styleId="CommentReference">
    <w:name w:val="annotation reference"/>
    <w:basedOn w:val="DefaultParagraphFont"/>
    <w:uiPriority w:val="99"/>
    <w:semiHidden/>
    <w:unhideWhenUsed/>
    <w:rsid w:val="00767FC0"/>
    <w:rPr>
      <w:sz w:val="16"/>
      <w:szCs w:val="16"/>
    </w:rPr>
  </w:style>
  <w:style w:type="paragraph" w:styleId="CommentText">
    <w:name w:val="annotation text"/>
    <w:basedOn w:val="Normal"/>
    <w:link w:val="CommentTextChar"/>
    <w:uiPriority w:val="99"/>
    <w:unhideWhenUsed/>
    <w:rsid w:val="00767FC0"/>
    <w:pPr>
      <w:spacing w:after="0" w:line="240" w:lineRule="auto"/>
      <w:jc w:val="both"/>
    </w:pPr>
    <w:rPr>
      <w:sz w:val="20"/>
      <w:szCs w:val="20"/>
      <w:lang w:val="de-DE"/>
    </w:rPr>
  </w:style>
  <w:style w:type="character" w:customStyle="1" w:styleId="CommentTextChar">
    <w:name w:val="Comment Text Char"/>
    <w:basedOn w:val="DefaultParagraphFont"/>
    <w:link w:val="CommentText"/>
    <w:uiPriority w:val="99"/>
    <w:rsid w:val="00767FC0"/>
    <w:rPr>
      <w:sz w:val="20"/>
      <w:szCs w:val="20"/>
      <w:lang w:val="de-DE"/>
    </w:rPr>
  </w:style>
  <w:style w:type="paragraph" w:styleId="Revision">
    <w:name w:val="Revision"/>
    <w:hidden/>
    <w:uiPriority w:val="99"/>
    <w:semiHidden/>
    <w:rsid w:val="00927622"/>
    <w:pPr>
      <w:spacing w:after="0" w:line="240" w:lineRule="auto"/>
    </w:pPr>
  </w:style>
  <w:style w:type="paragraph" w:styleId="CommentSubject">
    <w:name w:val="annotation subject"/>
    <w:basedOn w:val="CommentText"/>
    <w:next w:val="CommentText"/>
    <w:link w:val="CommentSubjectChar"/>
    <w:uiPriority w:val="99"/>
    <w:semiHidden/>
    <w:unhideWhenUsed/>
    <w:rsid w:val="00927622"/>
    <w:pPr>
      <w:spacing w:after="200"/>
      <w:jc w:val="left"/>
    </w:pPr>
    <w:rPr>
      <w:b/>
      <w:bCs/>
      <w:lang w:val="en-US"/>
    </w:rPr>
  </w:style>
  <w:style w:type="character" w:customStyle="1" w:styleId="CommentSubjectChar">
    <w:name w:val="Comment Subject Char"/>
    <w:basedOn w:val="CommentTextChar"/>
    <w:link w:val="CommentSubject"/>
    <w:uiPriority w:val="99"/>
    <w:semiHidden/>
    <w:rsid w:val="00927622"/>
    <w:rPr>
      <w:b/>
      <w:bCs/>
      <w:sz w:val="20"/>
      <w:szCs w:val="20"/>
      <w:lang w:val="de-DE"/>
    </w:rPr>
  </w:style>
  <w:style w:type="paragraph" w:styleId="Header">
    <w:name w:val="header"/>
    <w:basedOn w:val="Normal"/>
    <w:link w:val="HeaderChar"/>
    <w:uiPriority w:val="99"/>
    <w:unhideWhenUsed/>
    <w:rsid w:val="00FB1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54C"/>
  </w:style>
  <w:style w:type="paragraph" w:styleId="Footer">
    <w:name w:val="footer"/>
    <w:basedOn w:val="Normal"/>
    <w:link w:val="FooterChar"/>
    <w:uiPriority w:val="99"/>
    <w:unhideWhenUsed/>
    <w:rsid w:val="00FB1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54C"/>
  </w:style>
  <w:style w:type="character" w:styleId="UnresolvedMention">
    <w:name w:val="Unresolved Mention"/>
    <w:basedOn w:val="DefaultParagraphFont"/>
    <w:uiPriority w:val="99"/>
    <w:semiHidden/>
    <w:unhideWhenUsed/>
    <w:rsid w:val="0080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173250">
      <w:bodyDiv w:val="1"/>
      <w:marLeft w:val="0"/>
      <w:marRight w:val="0"/>
      <w:marTop w:val="0"/>
      <w:marBottom w:val="0"/>
      <w:divBdr>
        <w:top w:val="none" w:sz="0" w:space="0" w:color="auto"/>
        <w:left w:val="none" w:sz="0" w:space="0" w:color="auto"/>
        <w:bottom w:val="none" w:sz="0" w:space="0" w:color="auto"/>
        <w:right w:val="none" w:sz="0" w:space="0" w:color="auto"/>
      </w:divBdr>
    </w:div>
    <w:div w:id="173742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p.org/wp-content/uploads/Safeguarding-Anti-Trafficking-Child-Protection-Policy_GB-Approved-June-14-2023.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d@thp.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bica.roy@thp.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emerkung xmlns="7634100c-16cd-4610-8d33-c5ca4bba75ac" xsi:nil="true"/>
    <lcf76f155ced4ddcb4097134ff3c332f xmlns="7634100c-16cd-4610-8d33-c5ca4bba75ac">
      <Terms xmlns="http://schemas.microsoft.com/office/infopath/2007/PartnerControls"/>
    </lcf76f155ced4ddcb4097134ff3c332f>
    <TaxCatchAll xmlns="8e4ea82b-c598-42a7-a608-20a608f1da8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DCF26E28D05104DB5B54997D288DE67" ma:contentTypeVersion="20" ma:contentTypeDescription="Ein neues Dokument erstellen." ma:contentTypeScope="" ma:versionID="0ba93801543c16b905cfa25010c91e27">
  <xsd:schema xmlns:xsd="http://www.w3.org/2001/XMLSchema" xmlns:xs="http://www.w3.org/2001/XMLSchema" xmlns:p="http://schemas.microsoft.com/office/2006/metadata/properties" xmlns:ns2="7634100c-16cd-4610-8d33-c5ca4bba75ac" xmlns:ns3="8e4ea82b-c598-42a7-a608-20a608f1da89" targetNamespace="http://schemas.microsoft.com/office/2006/metadata/properties" ma:root="true" ma:fieldsID="0472bff2c488e24cc31b2bf4b69d3c52" ns2:_="" ns3:_="">
    <xsd:import namespace="7634100c-16cd-4610-8d33-c5ca4bba75ac"/>
    <xsd:import namespace="8e4ea82b-c598-42a7-a608-20a608f1da89"/>
    <xsd:element name="properties">
      <xsd:complexType>
        <xsd:sequence>
          <xsd:element name="documentManagement">
            <xsd:complexType>
              <xsd:all>
                <xsd:element ref="ns2:MediaServiceMetadata" minOccurs="0"/>
                <xsd:element ref="ns2:MediaServiceFastMetadata" minOccurs="0"/>
                <xsd:element ref="ns2:Bemerkung"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4100c-16cd-4610-8d33-c5ca4bba7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merkung" ma:index="10" nillable="true" ma:displayName="Bemerkung" ma:description="Wofür wird die Datei benötigt?" ma:internalName="Bemerkung">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042ba661-97b3-42bc-b5a7-9d83c7535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ea82b-c598-42a7-a608-20a608f1da8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482039d9-5f63-4895-a616-c9f0a50cf1ab}" ma:internalName="TaxCatchAll" ma:showField="CatchAllData" ma:web="8e4ea82b-c598-42a7-a608-20a608f1da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072C6-11BC-4974-84D1-383F0F77C71A}">
  <ds:schemaRefs>
    <ds:schemaRef ds:uri="http://schemas.openxmlformats.org/officeDocument/2006/bibliography"/>
  </ds:schemaRefs>
</ds:datastoreItem>
</file>

<file path=customXml/itemProps2.xml><?xml version="1.0" encoding="utf-8"?>
<ds:datastoreItem xmlns:ds="http://schemas.openxmlformats.org/officeDocument/2006/customXml" ds:itemID="{249F04AF-D109-44CE-8AEB-C3E1E4408C9C}">
  <ds:schemaRefs>
    <ds:schemaRef ds:uri="http://schemas.microsoft.com/sharepoint/v3/contenttype/forms"/>
  </ds:schemaRefs>
</ds:datastoreItem>
</file>

<file path=customXml/itemProps3.xml><?xml version="1.0" encoding="utf-8"?>
<ds:datastoreItem xmlns:ds="http://schemas.openxmlformats.org/officeDocument/2006/customXml" ds:itemID="{4DB6713F-9574-4688-8992-C29F1B0BADF7}">
  <ds:schemaRefs>
    <ds:schemaRef ds:uri="http://schemas.microsoft.com/office/2006/metadata/properties"/>
    <ds:schemaRef ds:uri="http://schemas.microsoft.com/office/infopath/2007/PartnerControls"/>
    <ds:schemaRef ds:uri="7634100c-16cd-4610-8d33-c5ca4bba75ac"/>
    <ds:schemaRef ds:uri="8e4ea82b-c598-42a7-a608-20a608f1da89"/>
  </ds:schemaRefs>
</ds:datastoreItem>
</file>

<file path=customXml/itemProps4.xml><?xml version="1.0" encoding="utf-8"?>
<ds:datastoreItem xmlns:ds="http://schemas.openxmlformats.org/officeDocument/2006/customXml" ds:itemID="{289135D9-36F2-4894-91F3-787A53353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34100c-16cd-4610-8d33-c5ca4bba75ac"/>
    <ds:schemaRef ds:uri="8e4ea82b-c598-42a7-a608-20a608f1d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4696</Words>
  <Characters>26769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ask</dc:creator>
  <cp:lastModifiedBy>Nagorik-2</cp:lastModifiedBy>
  <cp:revision>2</cp:revision>
  <dcterms:created xsi:type="dcterms:W3CDTF">2026-06-09T07:05:00Z</dcterms:created>
  <dcterms:modified xsi:type="dcterms:W3CDTF">2026-06-09T07:05:00Z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2f87e470-c530-45c6-b7f8-3573fa1952c5</vt:lpwstr>
  </property>
  <property fmtid="{D5CDD505-2E9C-101B-9397-08002B2CF9AE}" pid="3" name="ContentTypeId">
    <vt:lpwstr>0x010100EDCF26E28D05104DB5B54997D288DE67</vt:lpwstr>
  </property>
</Properties>
</file>