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ACDE1" w14:textId="456ACD76" w:rsidR="00532D78" w:rsidRPr="00612CEB" w:rsidRDefault="00532D78" w:rsidP="00532D78">
      <w:pPr>
        <w:jc w:val="center"/>
        <w:rPr>
          <w:rFonts w:ascii="Aptos" w:hAnsi="Aptos"/>
          <w:b/>
          <w:bCs/>
          <w:sz w:val="28"/>
          <w:szCs w:val="28"/>
        </w:rPr>
      </w:pPr>
      <w:proofErr w:type="spellStart"/>
      <w:r w:rsidRPr="00612CEB">
        <w:rPr>
          <w:rFonts w:ascii="Aptos" w:hAnsi="Aptos"/>
          <w:b/>
          <w:bCs/>
          <w:sz w:val="28"/>
          <w:szCs w:val="28"/>
        </w:rPr>
        <w:t>Padakhep</w:t>
      </w:r>
      <w:proofErr w:type="spellEnd"/>
      <w:r w:rsidRPr="00612CEB">
        <w:rPr>
          <w:rFonts w:ascii="Aptos" w:hAnsi="Aptos"/>
          <w:b/>
          <w:bCs/>
          <w:sz w:val="28"/>
          <w:szCs w:val="28"/>
        </w:rPr>
        <w:t xml:space="preserve"> </w:t>
      </w:r>
      <w:proofErr w:type="spellStart"/>
      <w:r w:rsidRPr="00612CEB">
        <w:rPr>
          <w:rFonts w:ascii="Aptos" w:hAnsi="Aptos"/>
          <w:b/>
          <w:bCs/>
          <w:sz w:val="28"/>
          <w:szCs w:val="28"/>
        </w:rPr>
        <w:t>Manabik</w:t>
      </w:r>
      <w:proofErr w:type="spellEnd"/>
      <w:r w:rsidRPr="00612CEB">
        <w:rPr>
          <w:rFonts w:ascii="Aptos" w:hAnsi="Aptos"/>
          <w:b/>
          <w:bCs/>
          <w:sz w:val="28"/>
          <w:szCs w:val="28"/>
        </w:rPr>
        <w:t xml:space="preserve"> </w:t>
      </w:r>
      <w:proofErr w:type="spellStart"/>
      <w:r w:rsidRPr="00612CEB">
        <w:rPr>
          <w:rFonts w:ascii="Aptos" w:hAnsi="Aptos"/>
          <w:b/>
          <w:bCs/>
          <w:sz w:val="28"/>
          <w:szCs w:val="28"/>
        </w:rPr>
        <w:t>Unnayan</w:t>
      </w:r>
      <w:proofErr w:type="spellEnd"/>
      <w:r w:rsidRPr="00612CEB">
        <w:rPr>
          <w:rFonts w:ascii="Aptos" w:hAnsi="Aptos"/>
          <w:b/>
          <w:bCs/>
          <w:sz w:val="28"/>
          <w:szCs w:val="28"/>
        </w:rPr>
        <w:t xml:space="preserve"> Kendra</w:t>
      </w:r>
    </w:p>
    <w:p w14:paraId="01C15B7E" w14:textId="1BBBEC98" w:rsidR="00AF6E75" w:rsidRPr="00612CEB" w:rsidRDefault="00AB544D" w:rsidP="00532D78">
      <w:pPr>
        <w:pStyle w:val="Title"/>
        <w:rPr>
          <w:rFonts w:ascii="Aptos" w:hAnsi="Aptos" w:cstheme="minorHAnsi"/>
          <w:sz w:val="36"/>
          <w:szCs w:val="36"/>
        </w:rPr>
      </w:pPr>
      <w:r w:rsidRPr="00612CEB">
        <w:rPr>
          <w:rFonts w:ascii="Aptos" w:hAnsi="Aptos" w:cstheme="minorHAnsi"/>
          <w:sz w:val="36"/>
          <w:szCs w:val="36"/>
        </w:rPr>
        <w:t>Terms of Reference (ToR)</w:t>
      </w:r>
    </w:p>
    <w:p w14:paraId="3089C256" w14:textId="6DBA5EAF" w:rsidR="00AB544D" w:rsidRPr="00612CEB" w:rsidRDefault="00D82497" w:rsidP="00D82497">
      <w:pPr>
        <w:jc w:val="center"/>
        <w:rPr>
          <w:rFonts w:ascii="Aptos" w:hAnsi="Aptos" w:cstheme="minorHAnsi"/>
          <w:sz w:val="22"/>
          <w:szCs w:val="22"/>
        </w:rPr>
      </w:pPr>
      <w:r w:rsidRPr="00612CEB">
        <w:rPr>
          <w:rStyle w:val="Strong"/>
          <w:rFonts w:ascii="Aptos" w:eastAsiaTheme="majorEastAsia" w:hAnsi="Aptos" w:cstheme="minorHAnsi"/>
          <w:sz w:val="22"/>
          <w:szCs w:val="22"/>
        </w:rPr>
        <w:t>Consultancy for Climate (Adaptation) Reporting and Monitoring Framework Development</w:t>
      </w:r>
    </w:p>
    <w:p w14:paraId="2A44165B" w14:textId="77777777" w:rsidR="00D82497" w:rsidRPr="00612CEB" w:rsidRDefault="00D82497" w:rsidP="00532D78">
      <w:pPr>
        <w:spacing w:after="0"/>
        <w:rPr>
          <w:rFonts w:ascii="Aptos" w:hAnsi="Aptos" w:cstheme="minorHAnsi"/>
          <w:b/>
          <w:bCs/>
          <w:sz w:val="22"/>
          <w:szCs w:val="22"/>
        </w:rPr>
      </w:pPr>
    </w:p>
    <w:p w14:paraId="2FF13D3A" w14:textId="21CF56DD" w:rsidR="00AB544D" w:rsidRPr="00612CEB" w:rsidRDefault="00AB544D" w:rsidP="00532D78">
      <w:pPr>
        <w:spacing w:after="0"/>
        <w:rPr>
          <w:rFonts w:ascii="Aptos" w:hAnsi="Aptos" w:cstheme="minorHAnsi"/>
          <w:sz w:val="22"/>
          <w:szCs w:val="22"/>
        </w:rPr>
      </w:pPr>
      <w:r w:rsidRPr="00612CEB">
        <w:rPr>
          <w:rFonts w:ascii="Aptos" w:hAnsi="Aptos" w:cstheme="minorHAnsi"/>
          <w:b/>
          <w:bCs/>
          <w:sz w:val="22"/>
          <w:szCs w:val="22"/>
        </w:rPr>
        <w:t>Project:</w:t>
      </w:r>
      <w:r w:rsidRPr="00612CEB">
        <w:rPr>
          <w:rFonts w:ascii="Aptos" w:hAnsi="Aptos" w:cstheme="minorHAnsi"/>
          <w:sz w:val="22"/>
          <w:szCs w:val="22"/>
        </w:rPr>
        <w:t xml:space="preserve"> Inclusive Climate Finance for Vulnerable Communities in Asia Pacific (ICCAP)</w:t>
      </w:r>
    </w:p>
    <w:p w14:paraId="54C6A7B2" w14:textId="77777777" w:rsidR="00AB544D" w:rsidRPr="00612CEB" w:rsidRDefault="00AB544D" w:rsidP="00532D78">
      <w:pPr>
        <w:spacing w:after="0"/>
        <w:rPr>
          <w:rFonts w:ascii="Aptos" w:hAnsi="Aptos" w:cstheme="minorHAnsi"/>
          <w:sz w:val="22"/>
          <w:szCs w:val="22"/>
        </w:rPr>
      </w:pPr>
      <w:r w:rsidRPr="00612CEB">
        <w:rPr>
          <w:rFonts w:ascii="Aptos" w:hAnsi="Aptos" w:cstheme="minorHAnsi"/>
          <w:b/>
          <w:bCs/>
          <w:sz w:val="22"/>
          <w:szCs w:val="22"/>
        </w:rPr>
        <w:t>Implementing Partner:</w:t>
      </w:r>
      <w:r w:rsidRPr="00612CEB">
        <w:rPr>
          <w:rFonts w:ascii="Aptos" w:hAnsi="Aptos" w:cstheme="minorHAnsi"/>
          <w:sz w:val="22"/>
          <w:szCs w:val="22"/>
        </w:rPr>
        <w:t xml:space="preserve"> </w:t>
      </w:r>
      <w:proofErr w:type="spellStart"/>
      <w:r w:rsidRPr="00612CEB">
        <w:rPr>
          <w:rFonts w:ascii="Aptos" w:hAnsi="Aptos" w:cstheme="minorHAnsi"/>
          <w:sz w:val="22"/>
          <w:szCs w:val="22"/>
        </w:rPr>
        <w:t>Padakhep</w:t>
      </w:r>
      <w:proofErr w:type="spellEnd"/>
      <w:r w:rsidRPr="00612CEB">
        <w:rPr>
          <w:rFonts w:ascii="Aptos" w:hAnsi="Aptos" w:cstheme="minorHAnsi"/>
          <w:sz w:val="22"/>
          <w:szCs w:val="22"/>
        </w:rPr>
        <w:t xml:space="preserve"> </w:t>
      </w:r>
      <w:proofErr w:type="spellStart"/>
      <w:r w:rsidRPr="00612CEB">
        <w:rPr>
          <w:rFonts w:ascii="Aptos" w:hAnsi="Aptos" w:cstheme="minorHAnsi"/>
          <w:sz w:val="22"/>
          <w:szCs w:val="22"/>
        </w:rPr>
        <w:t>Manabik</w:t>
      </w:r>
      <w:proofErr w:type="spellEnd"/>
      <w:r w:rsidRPr="00612CEB">
        <w:rPr>
          <w:rFonts w:ascii="Aptos" w:hAnsi="Aptos" w:cstheme="minorHAnsi"/>
          <w:sz w:val="22"/>
          <w:szCs w:val="22"/>
        </w:rPr>
        <w:t xml:space="preserve"> </w:t>
      </w:r>
      <w:proofErr w:type="spellStart"/>
      <w:r w:rsidRPr="00612CEB">
        <w:rPr>
          <w:rFonts w:ascii="Aptos" w:hAnsi="Aptos" w:cstheme="minorHAnsi"/>
          <w:sz w:val="22"/>
          <w:szCs w:val="22"/>
        </w:rPr>
        <w:t>Unnayan</w:t>
      </w:r>
      <w:proofErr w:type="spellEnd"/>
      <w:r w:rsidRPr="00612CEB">
        <w:rPr>
          <w:rFonts w:ascii="Aptos" w:hAnsi="Aptos" w:cstheme="minorHAnsi"/>
          <w:sz w:val="22"/>
          <w:szCs w:val="22"/>
        </w:rPr>
        <w:t xml:space="preserve"> Kendra</w:t>
      </w:r>
    </w:p>
    <w:p w14:paraId="641C3865" w14:textId="0FE7BCEE" w:rsidR="00AB544D" w:rsidRPr="00612CEB" w:rsidRDefault="00AB544D" w:rsidP="00532D78">
      <w:pPr>
        <w:spacing w:after="0"/>
        <w:rPr>
          <w:rFonts w:ascii="Aptos" w:hAnsi="Aptos" w:cstheme="minorHAnsi"/>
          <w:sz w:val="22"/>
          <w:szCs w:val="22"/>
        </w:rPr>
      </w:pPr>
      <w:r w:rsidRPr="00612CEB">
        <w:rPr>
          <w:rFonts w:ascii="Aptos" w:hAnsi="Aptos" w:cstheme="minorHAnsi"/>
          <w:b/>
          <w:bCs/>
          <w:sz w:val="22"/>
          <w:szCs w:val="22"/>
        </w:rPr>
        <w:t>Location:</w:t>
      </w:r>
      <w:r w:rsidRPr="00612CEB">
        <w:rPr>
          <w:rFonts w:ascii="Aptos" w:hAnsi="Aptos" w:cstheme="minorHAnsi"/>
          <w:sz w:val="22"/>
          <w:szCs w:val="22"/>
        </w:rPr>
        <w:t xml:space="preserve"> Dhaka, Bangladesh </w:t>
      </w:r>
      <w:r w:rsidR="00831700" w:rsidRPr="00612CEB">
        <w:rPr>
          <w:rFonts w:ascii="Aptos" w:hAnsi="Aptos" w:cstheme="minorHAnsi"/>
          <w:sz w:val="22"/>
          <w:szCs w:val="22"/>
        </w:rPr>
        <w:t>(with field engagement as required)</w:t>
      </w:r>
    </w:p>
    <w:p w14:paraId="29AC67A4" w14:textId="6C0F43BB" w:rsidR="00AB544D" w:rsidRPr="00612CEB" w:rsidRDefault="00AB544D" w:rsidP="00532D78">
      <w:pPr>
        <w:spacing w:after="0"/>
        <w:rPr>
          <w:rFonts w:ascii="Aptos" w:hAnsi="Aptos" w:cstheme="minorHAnsi"/>
          <w:sz w:val="22"/>
          <w:szCs w:val="22"/>
        </w:rPr>
      </w:pPr>
      <w:r w:rsidRPr="00612CEB">
        <w:rPr>
          <w:rFonts w:ascii="Aptos" w:hAnsi="Aptos" w:cstheme="minorHAnsi"/>
          <w:b/>
          <w:bCs/>
          <w:sz w:val="22"/>
          <w:szCs w:val="22"/>
        </w:rPr>
        <w:t>Duration</w:t>
      </w:r>
      <w:r w:rsidRPr="00612CEB">
        <w:rPr>
          <w:rFonts w:ascii="Aptos" w:hAnsi="Aptos" w:cstheme="minorHAnsi"/>
          <w:sz w:val="22"/>
          <w:szCs w:val="22"/>
        </w:rPr>
        <w:t xml:space="preserve">: </w:t>
      </w:r>
      <w:r w:rsidR="00D77367">
        <w:rPr>
          <w:rFonts w:ascii="Aptos" w:hAnsi="Aptos" w:cstheme="minorHAnsi"/>
          <w:sz w:val="22"/>
          <w:szCs w:val="22"/>
        </w:rPr>
        <w:t>5</w:t>
      </w:r>
      <w:r w:rsidRPr="00612CEB">
        <w:rPr>
          <w:rFonts w:ascii="Aptos" w:hAnsi="Aptos" w:cstheme="minorHAnsi"/>
          <w:sz w:val="22"/>
          <w:szCs w:val="22"/>
        </w:rPr>
        <w:t xml:space="preserve"> Months</w:t>
      </w:r>
    </w:p>
    <w:p w14:paraId="45F388BA" w14:textId="1BC67698" w:rsidR="00885D18" w:rsidRPr="00612CEB" w:rsidRDefault="00AB544D" w:rsidP="00532D78">
      <w:pPr>
        <w:pBdr>
          <w:bottom w:val="single" w:sz="6" w:space="1" w:color="auto"/>
        </w:pBdr>
        <w:spacing w:after="0"/>
        <w:rPr>
          <w:rFonts w:ascii="Aptos" w:hAnsi="Aptos" w:cstheme="minorHAnsi"/>
          <w:sz w:val="22"/>
          <w:szCs w:val="22"/>
        </w:rPr>
      </w:pPr>
      <w:r w:rsidRPr="00612CEB">
        <w:rPr>
          <w:rFonts w:ascii="Aptos" w:hAnsi="Aptos" w:cstheme="minorHAnsi"/>
          <w:b/>
          <w:bCs/>
          <w:sz w:val="22"/>
          <w:szCs w:val="22"/>
        </w:rPr>
        <w:t>Type of Engagement:</w:t>
      </w:r>
      <w:r w:rsidRPr="00612CEB">
        <w:rPr>
          <w:rFonts w:ascii="Aptos" w:hAnsi="Aptos" w:cstheme="minorHAnsi"/>
          <w:sz w:val="22"/>
          <w:szCs w:val="22"/>
        </w:rPr>
        <w:t xml:space="preserve"> Firm/</w:t>
      </w:r>
      <w:r w:rsidR="00F90D2E" w:rsidRPr="00612CEB">
        <w:rPr>
          <w:rFonts w:ascii="Aptos" w:hAnsi="Aptos" w:cstheme="minorHAnsi"/>
          <w:sz w:val="22"/>
          <w:szCs w:val="22"/>
        </w:rPr>
        <w:t>Joint Venture</w:t>
      </w:r>
    </w:p>
    <w:p w14:paraId="5C943840" w14:textId="77777777" w:rsidR="001C7C07" w:rsidRPr="00612CEB" w:rsidRDefault="001C7C07" w:rsidP="003478A3">
      <w:pPr>
        <w:spacing w:after="0"/>
        <w:rPr>
          <w:rFonts w:ascii="Aptos" w:hAnsi="Aptos" w:cstheme="minorHAnsi"/>
          <w:sz w:val="22"/>
          <w:szCs w:val="22"/>
        </w:rPr>
      </w:pPr>
    </w:p>
    <w:p w14:paraId="3EE3651C" w14:textId="050421CA" w:rsidR="00267073" w:rsidRPr="00612CEB" w:rsidRDefault="00267073" w:rsidP="00267073">
      <w:pPr>
        <w:rPr>
          <w:rFonts w:ascii="Aptos" w:hAnsi="Aptos"/>
          <w:b/>
          <w:bCs/>
          <w:smallCaps/>
          <w:spacing w:val="5"/>
          <w:sz w:val="28"/>
          <w:szCs w:val="28"/>
        </w:rPr>
      </w:pPr>
      <w:r w:rsidRPr="00612CEB">
        <w:rPr>
          <w:rStyle w:val="IntenseReference"/>
        </w:rPr>
        <w:t xml:space="preserve">1. </w:t>
      </w:r>
      <w:r w:rsidR="005E42CA" w:rsidRPr="00612CEB">
        <w:rPr>
          <w:rStyle w:val="IntenseReference"/>
        </w:rPr>
        <w:t xml:space="preserve"> About the Organization</w:t>
      </w:r>
    </w:p>
    <w:p w14:paraId="7A302809" w14:textId="3DFDE7DE" w:rsidR="000557B3" w:rsidRPr="00612CEB" w:rsidRDefault="000557B3" w:rsidP="000557B3">
      <w:pPr>
        <w:rPr>
          <w:rFonts w:ascii="Aptos" w:hAnsi="Aptos" w:cstheme="minorHAnsi"/>
          <w:sz w:val="22"/>
          <w:szCs w:val="22"/>
        </w:rPr>
      </w:pPr>
      <w:proofErr w:type="spellStart"/>
      <w:r w:rsidRPr="00612CEB">
        <w:rPr>
          <w:rFonts w:ascii="Aptos" w:hAnsi="Aptos" w:cstheme="minorHAnsi"/>
          <w:sz w:val="22"/>
          <w:szCs w:val="22"/>
        </w:rPr>
        <w:t>Padakhep</w:t>
      </w:r>
      <w:proofErr w:type="spellEnd"/>
      <w:r w:rsidRPr="00612CEB">
        <w:rPr>
          <w:rFonts w:ascii="Aptos" w:hAnsi="Aptos" w:cstheme="minorHAnsi"/>
          <w:sz w:val="22"/>
          <w:szCs w:val="22"/>
        </w:rPr>
        <w:t xml:space="preserve"> </w:t>
      </w:r>
      <w:proofErr w:type="spellStart"/>
      <w:r w:rsidRPr="00612CEB">
        <w:rPr>
          <w:rFonts w:ascii="Aptos" w:hAnsi="Aptos" w:cstheme="minorHAnsi"/>
          <w:sz w:val="22"/>
          <w:szCs w:val="22"/>
        </w:rPr>
        <w:t>Manabik</w:t>
      </w:r>
      <w:proofErr w:type="spellEnd"/>
      <w:r w:rsidRPr="00612CEB">
        <w:rPr>
          <w:rFonts w:ascii="Aptos" w:hAnsi="Aptos" w:cstheme="minorHAnsi"/>
          <w:sz w:val="22"/>
          <w:szCs w:val="22"/>
        </w:rPr>
        <w:t xml:space="preserve"> </w:t>
      </w:r>
      <w:proofErr w:type="spellStart"/>
      <w:r w:rsidRPr="00612CEB">
        <w:rPr>
          <w:rFonts w:ascii="Aptos" w:hAnsi="Aptos" w:cstheme="minorHAnsi"/>
          <w:sz w:val="22"/>
          <w:szCs w:val="22"/>
        </w:rPr>
        <w:t>Unnayan</w:t>
      </w:r>
      <w:proofErr w:type="spellEnd"/>
      <w:r w:rsidRPr="00612CEB">
        <w:rPr>
          <w:rFonts w:ascii="Aptos" w:hAnsi="Aptos" w:cstheme="minorHAnsi"/>
          <w:sz w:val="22"/>
          <w:szCs w:val="22"/>
        </w:rPr>
        <w:t xml:space="preserve"> Kendra</w:t>
      </w:r>
      <w:r w:rsidR="00BE2C2B">
        <w:rPr>
          <w:rFonts w:ascii="Aptos" w:hAnsi="Aptos" w:cstheme="minorHAnsi"/>
          <w:sz w:val="22"/>
          <w:szCs w:val="22"/>
        </w:rPr>
        <w:t xml:space="preserve"> (</w:t>
      </w:r>
      <w:proofErr w:type="spellStart"/>
      <w:r w:rsidR="00BE2C2B">
        <w:rPr>
          <w:rFonts w:ascii="Aptos" w:hAnsi="Aptos" w:cstheme="minorHAnsi"/>
          <w:sz w:val="22"/>
          <w:szCs w:val="22"/>
        </w:rPr>
        <w:t>Padakhep</w:t>
      </w:r>
      <w:proofErr w:type="spellEnd"/>
      <w:r w:rsidR="00BE2C2B">
        <w:rPr>
          <w:rFonts w:ascii="Aptos" w:hAnsi="Aptos" w:cstheme="minorHAnsi"/>
          <w:sz w:val="22"/>
          <w:szCs w:val="22"/>
        </w:rPr>
        <w:t>)</w:t>
      </w:r>
      <w:r w:rsidRPr="00612CEB">
        <w:rPr>
          <w:rFonts w:ascii="Aptos" w:hAnsi="Aptos" w:cstheme="minorHAnsi"/>
          <w:sz w:val="22"/>
          <w:szCs w:val="22"/>
        </w:rPr>
        <w:t xml:space="preserve"> is a national development organization and financial service provider working throughout Bangladesh since 1986, contributing to socio-economic development through financial inclusion, capacity building, and market-oriented interventions. The organization follows a holistic development approach aimed at improving the livelihoods of vulnerable communities, with a strong focus on women’s empowerment, inclusive finance, and sustainable development.</w:t>
      </w:r>
    </w:p>
    <w:p w14:paraId="247CCB12" w14:textId="77777777" w:rsidR="000557B3" w:rsidRPr="00612CEB" w:rsidRDefault="000557B3" w:rsidP="000557B3">
      <w:pPr>
        <w:rPr>
          <w:rFonts w:ascii="Aptos" w:hAnsi="Aptos" w:cstheme="minorHAnsi"/>
          <w:sz w:val="22"/>
          <w:szCs w:val="22"/>
        </w:rPr>
      </w:pPr>
      <w:r w:rsidRPr="00612CEB">
        <w:rPr>
          <w:rFonts w:ascii="Aptos" w:hAnsi="Aptos" w:cstheme="minorHAnsi"/>
          <w:sz w:val="22"/>
          <w:szCs w:val="22"/>
        </w:rPr>
        <w:t xml:space="preserve">Under the Inclusive Climate Finance for Vulnerable Communities in Asia Pacific (ICCAP) </w:t>
      </w:r>
      <w:proofErr w:type="spellStart"/>
      <w:r w:rsidRPr="00612CEB">
        <w:rPr>
          <w:rFonts w:ascii="Aptos" w:hAnsi="Aptos" w:cstheme="minorHAnsi"/>
          <w:sz w:val="22"/>
          <w:szCs w:val="22"/>
        </w:rPr>
        <w:t>programme</w:t>
      </w:r>
      <w:proofErr w:type="spellEnd"/>
      <w:r w:rsidRPr="00612CEB">
        <w:rPr>
          <w:rFonts w:ascii="Aptos" w:hAnsi="Aptos" w:cstheme="minorHAnsi"/>
          <w:sz w:val="22"/>
          <w:szCs w:val="22"/>
        </w:rPr>
        <w:t xml:space="preserve">, </w:t>
      </w:r>
      <w:proofErr w:type="spellStart"/>
      <w:r w:rsidRPr="00612CEB">
        <w:rPr>
          <w:rFonts w:ascii="Aptos" w:hAnsi="Aptos" w:cstheme="minorHAnsi"/>
          <w:sz w:val="22"/>
          <w:szCs w:val="22"/>
        </w:rPr>
        <w:t>Padakhep</w:t>
      </w:r>
      <w:proofErr w:type="spellEnd"/>
      <w:r w:rsidRPr="00612CEB">
        <w:rPr>
          <w:rFonts w:ascii="Aptos" w:hAnsi="Aptos" w:cstheme="minorHAnsi"/>
          <w:sz w:val="22"/>
          <w:szCs w:val="22"/>
        </w:rPr>
        <w:t xml:space="preserve"> is undertaking a series of institutional strengthening initiatives to enhance its capacity to design and deliver </w:t>
      </w:r>
      <w:r w:rsidRPr="00612CEB">
        <w:rPr>
          <w:rFonts w:ascii="Aptos" w:hAnsi="Aptos" w:cstheme="minorHAnsi"/>
          <w:b/>
          <w:bCs/>
          <w:sz w:val="22"/>
          <w:szCs w:val="22"/>
        </w:rPr>
        <w:t>climate-responsive and inclusive financial services</w:t>
      </w:r>
      <w:r w:rsidRPr="00612CEB">
        <w:rPr>
          <w:rFonts w:ascii="Aptos" w:hAnsi="Aptos" w:cstheme="minorHAnsi"/>
          <w:sz w:val="22"/>
          <w:szCs w:val="22"/>
        </w:rPr>
        <w:t>. As part of this process, the organization is advancing the development and integration of Environmental, Social, and Governance (ESG) standards into its operations, alongside strengthening its systems for Gender Equality and Social Inclusion (GESI).</w:t>
      </w:r>
    </w:p>
    <w:p w14:paraId="6287374C" w14:textId="40DF6AB0" w:rsidR="000557B3" w:rsidRPr="00612CEB" w:rsidRDefault="000557B3" w:rsidP="000557B3">
      <w:pPr>
        <w:rPr>
          <w:rFonts w:ascii="Aptos" w:hAnsi="Aptos" w:cstheme="minorHAnsi"/>
          <w:sz w:val="22"/>
          <w:szCs w:val="22"/>
        </w:rPr>
      </w:pPr>
      <w:r w:rsidRPr="00612CEB">
        <w:rPr>
          <w:rFonts w:ascii="Aptos" w:hAnsi="Aptos" w:cstheme="minorHAnsi"/>
          <w:sz w:val="22"/>
          <w:szCs w:val="22"/>
        </w:rPr>
        <w:t xml:space="preserve">In line with these efforts, Padakhep recognizes the need to establish a </w:t>
      </w:r>
      <w:r w:rsidRPr="00612CEB">
        <w:rPr>
          <w:rFonts w:ascii="Aptos" w:hAnsi="Aptos" w:cstheme="minorHAnsi"/>
          <w:b/>
          <w:bCs/>
          <w:sz w:val="22"/>
          <w:szCs w:val="22"/>
        </w:rPr>
        <w:t>robust Climate (Adaptation) Reporting and Monitoring Framework</w:t>
      </w:r>
      <w:r w:rsidRPr="00612CEB">
        <w:rPr>
          <w:rFonts w:ascii="Aptos" w:hAnsi="Aptos" w:cstheme="minorHAnsi"/>
          <w:sz w:val="22"/>
          <w:szCs w:val="22"/>
        </w:rPr>
        <w:t xml:space="preserve"> to systematically track, manage, and report climate-related financial portfolios and outcomes. This includes defining </w:t>
      </w:r>
      <w:r w:rsidR="00344EFF">
        <w:rPr>
          <w:rFonts w:ascii="Aptos" w:hAnsi="Aptos" w:cstheme="minorHAnsi"/>
          <w:sz w:val="22"/>
          <w:szCs w:val="22"/>
        </w:rPr>
        <w:t xml:space="preserve">input, output, and outcome-level </w:t>
      </w:r>
      <w:r w:rsidRPr="00612CEB">
        <w:rPr>
          <w:rFonts w:ascii="Aptos" w:hAnsi="Aptos" w:cstheme="minorHAnsi"/>
          <w:sz w:val="22"/>
          <w:szCs w:val="22"/>
        </w:rPr>
        <w:t>climate indicators, strengthening data collection and reporting mechanisms, and integrating climate considerations into core banking and management information systems.</w:t>
      </w:r>
    </w:p>
    <w:p w14:paraId="184EFF54" w14:textId="18B8EA7F" w:rsidR="004D36AA" w:rsidRPr="00612CEB" w:rsidRDefault="004D36AA" w:rsidP="00DE1006">
      <w:pPr>
        <w:rPr>
          <w:rFonts w:ascii="Aptos" w:hAnsi="Aptos" w:cstheme="minorHAnsi"/>
          <w:sz w:val="22"/>
          <w:szCs w:val="22"/>
        </w:rPr>
      </w:pPr>
      <w:r w:rsidRPr="00612CEB">
        <w:rPr>
          <w:rFonts w:ascii="Aptos" w:hAnsi="Aptos" w:cstheme="minorHAnsi"/>
          <w:sz w:val="22"/>
          <w:szCs w:val="22"/>
        </w:rPr>
        <w:t xml:space="preserve">To achieve this, Padakhep requires a qualified </w:t>
      </w:r>
      <w:r w:rsidRPr="00612CEB">
        <w:rPr>
          <w:rFonts w:ascii="Aptos" w:hAnsi="Aptos" w:cstheme="minorHAnsi"/>
          <w:b/>
          <w:bCs/>
          <w:sz w:val="22"/>
          <w:szCs w:val="22"/>
        </w:rPr>
        <w:t>Firm/Joint Venture</w:t>
      </w:r>
      <w:r w:rsidRPr="00612CEB">
        <w:rPr>
          <w:rFonts w:ascii="Aptos" w:hAnsi="Aptos" w:cstheme="minorHAnsi"/>
          <w:sz w:val="22"/>
          <w:szCs w:val="22"/>
        </w:rPr>
        <w:t xml:space="preserve"> to support the </w:t>
      </w:r>
      <w:r w:rsidRPr="00612CEB">
        <w:rPr>
          <w:rFonts w:ascii="Aptos" w:hAnsi="Aptos" w:cstheme="minorHAnsi"/>
          <w:b/>
          <w:bCs/>
          <w:sz w:val="22"/>
          <w:szCs w:val="22"/>
        </w:rPr>
        <w:t>development, integration, and operationalization of a climate reporting and monitoring framework</w:t>
      </w:r>
      <w:r w:rsidRPr="00612CEB">
        <w:rPr>
          <w:rFonts w:ascii="Aptos" w:hAnsi="Aptos" w:cstheme="minorHAnsi"/>
          <w:sz w:val="22"/>
          <w:szCs w:val="22"/>
        </w:rPr>
        <w:t>, including system customization, staff capacity building, and implementation support.</w:t>
      </w:r>
    </w:p>
    <w:p w14:paraId="2E876B68" w14:textId="77777777" w:rsidR="004D36AA" w:rsidRPr="00612CEB" w:rsidRDefault="004D36AA">
      <w:pPr>
        <w:rPr>
          <w:rStyle w:val="IntenseReference"/>
        </w:rPr>
      </w:pPr>
      <w:r w:rsidRPr="00612CEB">
        <w:rPr>
          <w:rStyle w:val="IntenseReference"/>
        </w:rPr>
        <w:br w:type="page"/>
      </w:r>
    </w:p>
    <w:p w14:paraId="02C315D2" w14:textId="0908B7FF" w:rsidR="00DE1006" w:rsidRPr="00612CEB" w:rsidRDefault="00DE1006" w:rsidP="00DE1006">
      <w:pPr>
        <w:rPr>
          <w:rStyle w:val="IntenseReference"/>
        </w:rPr>
      </w:pPr>
      <w:r w:rsidRPr="00612CEB">
        <w:rPr>
          <w:rStyle w:val="IntenseReference"/>
        </w:rPr>
        <w:lastRenderedPageBreak/>
        <w:t>2. Project Context</w:t>
      </w:r>
    </w:p>
    <w:p w14:paraId="06FC0399" w14:textId="38101C6F" w:rsidR="00730871" w:rsidRPr="00612CEB" w:rsidRDefault="00730871" w:rsidP="00FA3CFE">
      <w:pPr>
        <w:spacing w:line="276" w:lineRule="auto"/>
        <w:rPr>
          <w:rFonts w:ascii="Aptos" w:eastAsia="Times New Roman" w:hAnsi="Aptos" w:cs="Times New Roman"/>
          <w:sz w:val="22"/>
          <w:szCs w:val="22"/>
        </w:rPr>
      </w:pPr>
      <w:r w:rsidRPr="00612CEB">
        <w:rPr>
          <w:rFonts w:ascii="Aptos" w:eastAsia="Times New Roman" w:hAnsi="Aptos" w:cs="Times New Roman"/>
          <w:sz w:val="22"/>
          <w:szCs w:val="22"/>
        </w:rPr>
        <w:t xml:space="preserve">To support the mobilization of climate finance for vulnerable communities, the </w:t>
      </w:r>
      <w:r w:rsidRPr="00612CEB">
        <w:rPr>
          <w:rFonts w:ascii="Aptos" w:eastAsia="Times New Roman" w:hAnsi="Aptos" w:cs="Times New Roman"/>
          <w:b/>
          <w:bCs/>
          <w:i/>
          <w:iCs/>
          <w:sz w:val="22"/>
          <w:szCs w:val="22"/>
        </w:rPr>
        <w:t>Inclusive Climate Finance for Vulnerable Communities in Asia Pacific (ICCAP)</w:t>
      </w:r>
      <w:r w:rsidRPr="00612CEB">
        <w:rPr>
          <w:rFonts w:ascii="Aptos" w:eastAsia="Times New Roman" w:hAnsi="Aptos" w:cs="Times New Roman"/>
          <w:sz w:val="22"/>
          <w:szCs w:val="22"/>
        </w:rPr>
        <w:t xml:space="preserve"> project has selected </w:t>
      </w:r>
      <w:proofErr w:type="spellStart"/>
      <w:r w:rsidRPr="00612CEB">
        <w:rPr>
          <w:rFonts w:ascii="Aptos" w:eastAsia="Times New Roman" w:hAnsi="Aptos" w:cs="Times New Roman"/>
          <w:b/>
          <w:bCs/>
          <w:sz w:val="22"/>
          <w:szCs w:val="22"/>
        </w:rPr>
        <w:t>Padakhep</w:t>
      </w:r>
      <w:proofErr w:type="spellEnd"/>
      <w:r w:rsidRPr="00612CEB">
        <w:rPr>
          <w:rFonts w:ascii="Aptos" w:eastAsia="Times New Roman" w:hAnsi="Aptos" w:cs="Times New Roman"/>
          <w:sz w:val="22"/>
          <w:szCs w:val="22"/>
        </w:rPr>
        <w:t xml:space="preserve"> as one of its partner financial service providers (FSP) in Bangladesh. ICCAP is a five-year regional program funded by the </w:t>
      </w:r>
      <w:r w:rsidRPr="00612CEB">
        <w:rPr>
          <w:rFonts w:ascii="Aptos" w:eastAsia="Times New Roman" w:hAnsi="Aptos" w:cs="Times New Roman"/>
          <w:b/>
          <w:bCs/>
          <w:sz w:val="22"/>
          <w:szCs w:val="22"/>
        </w:rPr>
        <w:t>International Climate Initiative (IKI)</w:t>
      </w:r>
      <w:r w:rsidRPr="00612CEB">
        <w:rPr>
          <w:rFonts w:ascii="Aptos" w:eastAsia="Times New Roman" w:hAnsi="Aptos" w:cs="Times New Roman"/>
          <w:sz w:val="22"/>
          <w:szCs w:val="22"/>
        </w:rPr>
        <w:t xml:space="preserve">, implemented by a consortium of three organizations: the </w:t>
      </w:r>
      <w:r w:rsidRPr="00612CEB">
        <w:rPr>
          <w:rFonts w:ascii="Aptos" w:eastAsia="Times New Roman" w:hAnsi="Aptos" w:cs="Times New Roman"/>
          <w:b/>
          <w:bCs/>
          <w:sz w:val="22"/>
          <w:szCs w:val="22"/>
        </w:rPr>
        <w:t>Stockholm Environment Institute (SEI</w:t>
      </w:r>
      <w:r w:rsidRPr="00612CEB">
        <w:rPr>
          <w:rFonts w:ascii="Aptos" w:eastAsia="Times New Roman" w:hAnsi="Aptos" w:cs="Times New Roman"/>
          <w:sz w:val="22"/>
          <w:szCs w:val="22"/>
        </w:rPr>
        <w:t xml:space="preserve">), </w:t>
      </w:r>
      <w:proofErr w:type="spellStart"/>
      <w:r w:rsidRPr="00612CEB">
        <w:rPr>
          <w:rFonts w:ascii="Aptos" w:eastAsia="Times New Roman" w:hAnsi="Aptos" w:cs="Times New Roman"/>
          <w:b/>
          <w:bCs/>
          <w:sz w:val="22"/>
          <w:szCs w:val="22"/>
        </w:rPr>
        <w:t>Appui</w:t>
      </w:r>
      <w:proofErr w:type="spellEnd"/>
      <w:r w:rsidRPr="00612CEB">
        <w:rPr>
          <w:rFonts w:ascii="Aptos" w:eastAsia="Times New Roman" w:hAnsi="Aptos" w:cs="Times New Roman"/>
          <w:b/>
          <w:bCs/>
          <w:sz w:val="22"/>
          <w:szCs w:val="22"/>
        </w:rPr>
        <w:t xml:space="preserve"> au Developpement </w:t>
      </w:r>
      <w:proofErr w:type="spellStart"/>
      <w:r w:rsidRPr="00612CEB">
        <w:rPr>
          <w:rFonts w:ascii="Aptos" w:eastAsia="Times New Roman" w:hAnsi="Aptos" w:cs="Times New Roman"/>
          <w:b/>
          <w:bCs/>
          <w:sz w:val="22"/>
          <w:szCs w:val="22"/>
        </w:rPr>
        <w:t>Autonome</w:t>
      </w:r>
      <w:proofErr w:type="spellEnd"/>
      <w:r w:rsidRPr="00612CEB">
        <w:rPr>
          <w:rFonts w:ascii="Aptos" w:eastAsia="Times New Roman" w:hAnsi="Aptos" w:cs="Times New Roman"/>
          <w:b/>
          <w:bCs/>
          <w:sz w:val="22"/>
          <w:szCs w:val="22"/>
        </w:rPr>
        <w:t xml:space="preserve"> (ADA)</w:t>
      </w:r>
      <w:r w:rsidRPr="00612CEB">
        <w:rPr>
          <w:rFonts w:ascii="Aptos" w:eastAsia="Times New Roman" w:hAnsi="Aptos" w:cs="Times New Roman"/>
          <w:sz w:val="22"/>
          <w:szCs w:val="22"/>
        </w:rPr>
        <w:t xml:space="preserve"> and the </w:t>
      </w:r>
      <w:r w:rsidRPr="00612CEB">
        <w:rPr>
          <w:rFonts w:ascii="Aptos" w:eastAsia="Times New Roman" w:hAnsi="Aptos" w:cs="Times New Roman"/>
          <w:b/>
          <w:bCs/>
          <w:sz w:val="22"/>
          <w:szCs w:val="22"/>
        </w:rPr>
        <w:t>Asia-Pacific Rural and Agricultural Credit Association (APRACA)</w:t>
      </w:r>
      <w:r w:rsidRPr="00612CEB">
        <w:rPr>
          <w:rFonts w:ascii="Aptos" w:eastAsia="Times New Roman" w:hAnsi="Aptos" w:cs="Times New Roman"/>
          <w:sz w:val="22"/>
          <w:szCs w:val="22"/>
        </w:rPr>
        <w:t>, operating across six countries: Bangladesh Bhutan, Cambodia, Laos, Nepal and Fiji.</w:t>
      </w:r>
    </w:p>
    <w:p w14:paraId="24211AA6" w14:textId="4CC32E7B" w:rsidR="005535CC" w:rsidRPr="00612CEB" w:rsidRDefault="005535CC" w:rsidP="005535CC">
      <w:pPr>
        <w:rPr>
          <w:rFonts w:ascii="Aptos" w:eastAsia="Times New Roman" w:hAnsi="Aptos" w:cs="Times New Roman"/>
          <w:sz w:val="22"/>
          <w:szCs w:val="22"/>
        </w:rPr>
      </w:pPr>
      <w:r w:rsidRPr="00612CEB">
        <w:rPr>
          <w:rFonts w:ascii="Aptos" w:eastAsia="Times New Roman" w:hAnsi="Aptos" w:cs="Times New Roman"/>
          <w:sz w:val="22"/>
          <w:szCs w:val="22"/>
        </w:rPr>
        <w:t xml:space="preserve">Under ICCAP, ADA, a Luxembourg-based international non-governmental organization with over three decades of expertise in inclusive finance, is leading the provision of technical assistance to partner institutions. This includes support for the development of inclusive climate adaptation financial products and strengthening institutional systems. As part of this support, ADA is facilitating </w:t>
      </w:r>
      <w:proofErr w:type="spellStart"/>
      <w:r w:rsidRPr="00612CEB">
        <w:rPr>
          <w:rFonts w:ascii="Aptos" w:eastAsia="Times New Roman" w:hAnsi="Aptos" w:cs="Times New Roman"/>
          <w:sz w:val="22"/>
          <w:szCs w:val="22"/>
        </w:rPr>
        <w:t>Padakhep’s</w:t>
      </w:r>
      <w:proofErr w:type="spellEnd"/>
      <w:r w:rsidRPr="00612CEB">
        <w:rPr>
          <w:rFonts w:ascii="Aptos" w:eastAsia="Times New Roman" w:hAnsi="Aptos" w:cs="Times New Roman"/>
          <w:sz w:val="22"/>
          <w:szCs w:val="22"/>
        </w:rPr>
        <w:t xml:space="preserve"> development of a comprehensive Environmental, Social, and Governance (ESG) Framework.</w:t>
      </w:r>
      <w:r w:rsidR="00533CF7" w:rsidRPr="00612CEB">
        <w:rPr>
          <w:rFonts w:ascii="Aptos" w:eastAsia="Times New Roman" w:hAnsi="Aptos" w:cs="Times New Roman"/>
          <w:sz w:val="22"/>
          <w:szCs w:val="22"/>
        </w:rPr>
        <w:t xml:space="preserve"> </w:t>
      </w:r>
      <w:r w:rsidRPr="00612CEB">
        <w:rPr>
          <w:rFonts w:ascii="Aptos" w:eastAsia="Times New Roman" w:hAnsi="Aptos" w:cs="Times New Roman"/>
          <w:sz w:val="22"/>
          <w:szCs w:val="22"/>
        </w:rPr>
        <w:t xml:space="preserve">In alignment with this broader ESG agenda, Padakhep is strengthening its systems to effectively </w:t>
      </w:r>
      <w:r w:rsidRPr="00612CEB">
        <w:rPr>
          <w:rFonts w:ascii="Aptos" w:eastAsia="Times New Roman" w:hAnsi="Aptos" w:cs="Times New Roman"/>
          <w:b/>
          <w:bCs/>
          <w:sz w:val="22"/>
          <w:szCs w:val="22"/>
        </w:rPr>
        <w:t>monitor and report climate (adaptation) finance portfolios and outcomes</w:t>
      </w:r>
      <w:r w:rsidRPr="00612CEB">
        <w:rPr>
          <w:rFonts w:ascii="Aptos" w:eastAsia="Times New Roman" w:hAnsi="Aptos" w:cs="Times New Roman"/>
          <w:sz w:val="22"/>
          <w:szCs w:val="22"/>
        </w:rPr>
        <w:t>, including integration into core banking and MIS systems.</w:t>
      </w:r>
    </w:p>
    <w:p w14:paraId="7F4757D1" w14:textId="5DA72C83" w:rsidR="00964A9E" w:rsidRPr="00612CEB" w:rsidRDefault="00964A9E" w:rsidP="00267073">
      <w:pPr>
        <w:rPr>
          <w:rFonts w:ascii="Aptos" w:hAnsi="Aptos" w:cstheme="minorHAnsi"/>
          <w:b/>
          <w:bCs/>
          <w:sz w:val="22"/>
          <w:szCs w:val="22"/>
        </w:rPr>
      </w:pPr>
      <w:r w:rsidRPr="00612CEB">
        <w:rPr>
          <w:rFonts w:ascii="Aptos" w:hAnsi="Aptos" w:cstheme="minorHAnsi"/>
          <w:sz w:val="22"/>
          <w:szCs w:val="22"/>
        </w:rPr>
        <w:t xml:space="preserve">To support this process, Padakhep requires a qualified </w:t>
      </w:r>
      <w:r w:rsidRPr="00612CEB">
        <w:rPr>
          <w:rFonts w:ascii="Aptos" w:hAnsi="Aptos" w:cstheme="minorHAnsi"/>
          <w:b/>
          <w:bCs/>
          <w:sz w:val="22"/>
          <w:szCs w:val="22"/>
        </w:rPr>
        <w:t>Firm/Joint Venture</w:t>
      </w:r>
      <w:r w:rsidRPr="00612CEB">
        <w:rPr>
          <w:rFonts w:ascii="Aptos" w:hAnsi="Aptos" w:cstheme="minorHAnsi"/>
          <w:sz w:val="22"/>
          <w:szCs w:val="22"/>
        </w:rPr>
        <w:t xml:space="preserve"> to develop and operationalize a </w:t>
      </w:r>
      <w:r w:rsidRPr="00612CEB">
        <w:rPr>
          <w:rFonts w:ascii="Aptos" w:hAnsi="Aptos" w:cstheme="minorHAnsi"/>
          <w:b/>
          <w:bCs/>
          <w:sz w:val="22"/>
          <w:szCs w:val="22"/>
        </w:rPr>
        <w:t>Climate (Adaptation) Reporting and Monitoring Framework</w:t>
      </w:r>
      <w:r w:rsidRPr="00612CEB">
        <w:rPr>
          <w:rFonts w:ascii="Aptos" w:hAnsi="Aptos" w:cstheme="minorHAnsi"/>
          <w:sz w:val="22"/>
          <w:szCs w:val="22"/>
        </w:rPr>
        <w:t xml:space="preserve">, including system integration, reporting tools, and staff capacity development. </w:t>
      </w:r>
      <w:r w:rsidRPr="00612CEB">
        <w:rPr>
          <w:rFonts w:ascii="Aptos" w:hAnsi="Aptos" w:cstheme="minorHAnsi"/>
          <w:b/>
          <w:bCs/>
          <w:sz w:val="22"/>
          <w:szCs w:val="22"/>
        </w:rPr>
        <w:t>The assignment is expected to be delivered through a multidisciplinary team with expertise in climate finance, MIS/system integration, and capacity building.</w:t>
      </w:r>
    </w:p>
    <w:p w14:paraId="792045D3" w14:textId="7E4A3104" w:rsidR="00267073" w:rsidRPr="00612CEB" w:rsidRDefault="006D45BC" w:rsidP="00267073">
      <w:pPr>
        <w:rPr>
          <w:rFonts w:ascii="Aptos" w:hAnsi="Aptos"/>
          <w:b/>
          <w:bCs/>
          <w:smallCaps/>
          <w:spacing w:val="5"/>
          <w:sz w:val="28"/>
          <w:szCs w:val="28"/>
        </w:rPr>
      </w:pPr>
      <w:r w:rsidRPr="00612CEB">
        <w:rPr>
          <w:rStyle w:val="IntenseReference"/>
        </w:rPr>
        <w:t>3</w:t>
      </w:r>
      <w:r w:rsidR="00267073" w:rsidRPr="00612CEB">
        <w:rPr>
          <w:rStyle w:val="IntenseReference"/>
        </w:rPr>
        <w:t>. Objective of the Assignment</w:t>
      </w:r>
    </w:p>
    <w:p w14:paraId="37480C9C" w14:textId="77777777" w:rsidR="006F5272" w:rsidRPr="00612CEB" w:rsidRDefault="006F5272" w:rsidP="006E796E">
      <w:pPr>
        <w:spacing w:after="100" w:afterAutospacing="1" w:line="240" w:lineRule="auto"/>
        <w:rPr>
          <w:rFonts w:ascii="Aptos" w:eastAsia="Times New Roman" w:hAnsi="Aptos" w:cs="Times New Roman"/>
          <w:kern w:val="0"/>
          <w:sz w:val="22"/>
          <w:szCs w:val="22"/>
          <w:lang w:bidi="bn-IN"/>
          <w14:ligatures w14:val="none"/>
        </w:rPr>
      </w:pPr>
      <w:r w:rsidRPr="00612CEB">
        <w:rPr>
          <w:rFonts w:ascii="Aptos" w:eastAsia="Times New Roman" w:hAnsi="Aptos" w:cs="Times New Roman"/>
          <w:kern w:val="0"/>
          <w:sz w:val="22"/>
          <w:szCs w:val="22"/>
          <w:lang w:bidi="bn-IN"/>
          <w14:ligatures w14:val="none"/>
        </w:rPr>
        <w:t xml:space="preserve">The objective of this assignment is to support Padakhep in </w:t>
      </w:r>
      <w:r w:rsidRPr="00612CEB">
        <w:rPr>
          <w:rFonts w:ascii="Aptos" w:eastAsia="Times New Roman" w:hAnsi="Aptos" w:cs="Times New Roman"/>
          <w:b/>
          <w:bCs/>
          <w:kern w:val="0"/>
          <w:sz w:val="22"/>
          <w:szCs w:val="22"/>
          <w:lang w:bidi="bn-IN"/>
          <w14:ligatures w14:val="none"/>
        </w:rPr>
        <w:t>developing and operationalizing a Climate (Adaptation) Reporting and Monitoring Framework</w:t>
      </w:r>
      <w:r w:rsidRPr="00612CEB">
        <w:rPr>
          <w:rFonts w:ascii="Aptos" w:eastAsia="Times New Roman" w:hAnsi="Aptos" w:cs="Times New Roman"/>
          <w:kern w:val="0"/>
          <w:sz w:val="22"/>
          <w:szCs w:val="22"/>
          <w:lang w:bidi="bn-IN"/>
          <w14:ligatures w14:val="none"/>
        </w:rPr>
        <w:t xml:space="preserve"> that:</w:t>
      </w:r>
    </w:p>
    <w:p w14:paraId="621890D1" w14:textId="1D5E6BF3" w:rsidR="006F5272" w:rsidRPr="00612CEB" w:rsidRDefault="006F5272" w:rsidP="006F5272">
      <w:pPr>
        <w:numPr>
          <w:ilvl w:val="0"/>
          <w:numId w:val="15"/>
        </w:numPr>
        <w:spacing w:before="100" w:beforeAutospacing="1" w:after="100" w:afterAutospacing="1" w:line="240" w:lineRule="auto"/>
        <w:rPr>
          <w:rFonts w:ascii="Aptos" w:eastAsia="Times New Roman" w:hAnsi="Aptos" w:cs="Times New Roman"/>
          <w:kern w:val="0"/>
          <w:sz w:val="22"/>
          <w:szCs w:val="22"/>
          <w:lang w:bidi="bn-IN"/>
          <w14:ligatures w14:val="none"/>
        </w:rPr>
      </w:pPr>
      <w:r w:rsidRPr="00612CEB">
        <w:rPr>
          <w:rFonts w:ascii="Aptos" w:eastAsia="Times New Roman" w:hAnsi="Aptos" w:cs="Times New Roman"/>
          <w:kern w:val="0"/>
          <w:sz w:val="22"/>
          <w:szCs w:val="22"/>
          <w:lang w:bidi="bn-IN"/>
          <w14:ligatures w14:val="none"/>
        </w:rPr>
        <w:t>Establish</w:t>
      </w:r>
      <w:r w:rsidR="00C228B7" w:rsidRPr="00612CEB">
        <w:rPr>
          <w:rFonts w:ascii="Aptos" w:eastAsia="Times New Roman" w:hAnsi="Aptos" w:cs="Times New Roman"/>
          <w:kern w:val="0"/>
          <w:sz w:val="22"/>
          <w:szCs w:val="22"/>
          <w:lang w:bidi="bn-IN"/>
          <w14:ligatures w14:val="none"/>
        </w:rPr>
        <w:t>ing</w:t>
      </w:r>
      <w:r w:rsidRPr="00612CEB">
        <w:rPr>
          <w:rFonts w:ascii="Aptos" w:eastAsia="Times New Roman" w:hAnsi="Aptos" w:cs="Times New Roman"/>
          <w:kern w:val="0"/>
          <w:sz w:val="22"/>
          <w:szCs w:val="22"/>
          <w:lang w:bidi="bn-IN"/>
          <w14:ligatures w14:val="none"/>
        </w:rPr>
        <w:t xml:space="preserve"> standardized climate portfolio monitoring indicators </w:t>
      </w:r>
    </w:p>
    <w:p w14:paraId="63787B17" w14:textId="1988FB01" w:rsidR="006F5272" w:rsidRPr="00612CEB" w:rsidRDefault="006F5272" w:rsidP="006F5272">
      <w:pPr>
        <w:numPr>
          <w:ilvl w:val="0"/>
          <w:numId w:val="15"/>
        </w:numPr>
        <w:spacing w:before="100" w:beforeAutospacing="1" w:after="100" w:afterAutospacing="1" w:line="240" w:lineRule="auto"/>
        <w:rPr>
          <w:rFonts w:ascii="Aptos" w:eastAsia="Times New Roman" w:hAnsi="Aptos" w:cs="Times New Roman"/>
          <w:kern w:val="0"/>
          <w:sz w:val="22"/>
          <w:szCs w:val="22"/>
          <w:lang w:bidi="bn-IN"/>
          <w14:ligatures w14:val="none"/>
        </w:rPr>
      </w:pPr>
      <w:r w:rsidRPr="00612CEB">
        <w:rPr>
          <w:rFonts w:ascii="Aptos" w:eastAsia="Times New Roman" w:hAnsi="Aptos" w:cs="Times New Roman"/>
          <w:kern w:val="0"/>
          <w:sz w:val="22"/>
          <w:szCs w:val="22"/>
          <w:lang w:bidi="bn-IN"/>
          <w14:ligatures w14:val="none"/>
        </w:rPr>
        <w:t>Enabl</w:t>
      </w:r>
      <w:r w:rsidR="00C228B7" w:rsidRPr="00612CEB">
        <w:rPr>
          <w:rFonts w:ascii="Aptos" w:eastAsia="Times New Roman" w:hAnsi="Aptos" w:cs="Times New Roman"/>
          <w:kern w:val="0"/>
          <w:sz w:val="22"/>
          <w:szCs w:val="22"/>
          <w:lang w:bidi="bn-IN"/>
          <w14:ligatures w14:val="none"/>
        </w:rPr>
        <w:t>ing</w:t>
      </w:r>
      <w:r w:rsidRPr="00612CEB">
        <w:rPr>
          <w:rFonts w:ascii="Aptos" w:eastAsia="Times New Roman" w:hAnsi="Aptos" w:cs="Times New Roman"/>
          <w:kern w:val="0"/>
          <w:sz w:val="22"/>
          <w:szCs w:val="22"/>
          <w:lang w:bidi="bn-IN"/>
          <w14:ligatures w14:val="none"/>
        </w:rPr>
        <w:t xml:space="preserve"> systematic data collection, tracking, and reporting </w:t>
      </w:r>
    </w:p>
    <w:p w14:paraId="2017010B" w14:textId="48B6DB22" w:rsidR="006F5272" w:rsidRPr="00612CEB" w:rsidRDefault="006F5272" w:rsidP="006F5272">
      <w:pPr>
        <w:numPr>
          <w:ilvl w:val="0"/>
          <w:numId w:val="15"/>
        </w:numPr>
        <w:spacing w:before="100" w:beforeAutospacing="1" w:after="100" w:afterAutospacing="1" w:line="240" w:lineRule="auto"/>
        <w:rPr>
          <w:rFonts w:ascii="Aptos" w:eastAsia="Times New Roman" w:hAnsi="Aptos" w:cs="Times New Roman"/>
          <w:kern w:val="0"/>
          <w:sz w:val="22"/>
          <w:szCs w:val="22"/>
          <w:lang w:bidi="bn-IN"/>
          <w14:ligatures w14:val="none"/>
        </w:rPr>
      </w:pPr>
      <w:r w:rsidRPr="00612CEB">
        <w:rPr>
          <w:rFonts w:ascii="Aptos" w:eastAsia="Times New Roman" w:hAnsi="Aptos" w:cs="Times New Roman"/>
          <w:kern w:val="0"/>
          <w:sz w:val="22"/>
          <w:szCs w:val="22"/>
          <w:lang w:bidi="bn-IN"/>
          <w14:ligatures w14:val="none"/>
        </w:rPr>
        <w:t>Integrat</w:t>
      </w:r>
      <w:r w:rsidR="00C228B7" w:rsidRPr="00612CEB">
        <w:rPr>
          <w:rFonts w:ascii="Aptos" w:eastAsia="Times New Roman" w:hAnsi="Aptos" w:cs="Times New Roman"/>
          <w:kern w:val="0"/>
          <w:sz w:val="22"/>
          <w:szCs w:val="22"/>
          <w:lang w:bidi="bn-IN"/>
          <w14:ligatures w14:val="none"/>
        </w:rPr>
        <w:t>ing</w:t>
      </w:r>
      <w:r w:rsidRPr="00612CEB">
        <w:rPr>
          <w:rFonts w:ascii="Aptos" w:eastAsia="Times New Roman" w:hAnsi="Aptos" w:cs="Times New Roman"/>
          <w:kern w:val="0"/>
          <w:sz w:val="22"/>
          <w:szCs w:val="22"/>
          <w:lang w:bidi="bn-IN"/>
          <w14:ligatures w14:val="none"/>
        </w:rPr>
        <w:t xml:space="preserve"> climate indicators into core banking/MIS systems </w:t>
      </w:r>
    </w:p>
    <w:p w14:paraId="2D8FB4C0" w14:textId="4856A308" w:rsidR="006F5272" w:rsidRPr="00612CEB" w:rsidRDefault="006F5272" w:rsidP="006F5272">
      <w:pPr>
        <w:numPr>
          <w:ilvl w:val="0"/>
          <w:numId w:val="15"/>
        </w:numPr>
        <w:spacing w:before="100" w:beforeAutospacing="1" w:after="100" w:afterAutospacing="1" w:line="240" w:lineRule="auto"/>
        <w:rPr>
          <w:rFonts w:ascii="Aptos" w:eastAsia="Times New Roman" w:hAnsi="Aptos" w:cs="Times New Roman"/>
          <w:kern w:val="0"/>
          <w:sz w:val="22"/>
          <w:szCs w:val="22"/>
          <w:lang w:bidi="bn-IN"/>
          <w14:ligatures w14:val="none"/>
        </w:rPr>
      </w:pPr>
      <w:r w:rsidRPr="00612CEB">
        <w:rPr>
          <w:rFonts w:ascii="Aptos" w:eastAsia="Times New Roman" w:hAnsi="Aptos" w:cs="Times New Roman"/>
          <w:kern w:val="0"/>
          <w:sz w:val="22"/>
          <w:szCs w:val="22"/>
          <w:lang w:bidi="bn-IN"/>
          <w14:ligatures w14:val="none"/>
        </w:rPr>
        <w:t>Strengthen</w:t>
      </w:r>
      <w:r w:rsidR="00C228B7" w:rsidRPr="00612CEB">
        <w:rPr>
          <w:rFonts w:ascii="Aptos" w:eastAsia="Times New Roman" w:hAnsi="Aptos" w:cs="Times New Roman"/>
          <w:kern w:val="0"/>
          <w:sz w:val="22"/>
          <w:szCs w:val="22"/>
          <w:lang w:bidi="bn-IN"/>
          <w14:ligatures w14:val="none"/>
        </w:rPr>
        <w:t>ing</w:t>
      </w:r>
      <w:r w:rsidRPr="00612CEB">
        <w:rPr>
          <w:rFonts w:ascii="Aptos" w:eastAsia="Times New Roman" w:hAnsi="Aptos" w:cs="Times New Roman"/>
          <w:kern w:val="0"/>
          <w:sz w:val="22"/>
          <w:szCs w:val="22"/>
          <w:lang w:bidi="bn-IN"/>
          <w14:ligatures w14:val="none"/>
        </w:rPr>
        <w:t xml:space="preserve"> institutional capacity for climate data management </w:t>
      </w:r>
    </w:p>
    <w:p w14:paraId="7D15F49A" w14:textId="6375FA3D" w:rsidR="006F5272" w:rsidRPr="00612CEB" w:rsidRDefault="006F5272" w:rsidP="006F5272">
      <w:pPr>
        <w:numPr>
          <w:ilvl w:val="0"/>
          <w:numId w:val="15"/>
        </w:numPr>
        <w:spacing w:before="100" w:beforeAutospacing="1" w:after="100" w:afterAutospacing="1" w:line="240" w:lineRule="auto"/>
        <w:rPr>
          <w:rFonts w:ascii="Aptos" w:eastAsia="Times New Roman" w:hAnsi="Aptos" w:cs="Times New Roman"/>
          <w:kern w:val="0"/>
          <w:sz w:val="22"/>
          <w:szCs w:val="22"/>
          <w:lang w:bidi="bn-IN"/>
          <w14:ligatures w14:val="none"/>
        </w:rPr>
      </w:pPr>
      <w:r w:rsidRPr="00612CEB">
        <w:rPr>
          <w:rFonts w:ascii="Aptos" w:eastAsia="Times New Roman" w:hAnsi="Aptos" w:cs="Times New Roman"/>
          <w:kern w:val="0"/>
          <w:sz w:val="22"/>
          <w:szCs w:val="22"/>
          <w:lang w:bidi="bn-IN"/>
          <w14:ligatures w14:val="none"/>
        </w:rPr>
        <w:t>Support</w:t>
      </w:r>
      <w:r w:rsidR="00C228B7" w:rsidRPr="00612CEB">
        <w:rPr>
          <w:rFonts w:ascii="Aptos" w:eastAsia="Times New Roman" w:hAnsi="Aptos" w:cs="Times New Roman"/>
          <w:kern w:val="0"/>
          <w:sz w:val="22"/>
          <w:szCs w:val="22"/>
          <w:lang w:bidi="bn-IN"/>
          <w14:ligatures w14:val="none"/>
        </w:rPr>
        <w:t>ing</w:t>
      </w:r>
      <w:r w:rsidRPr="00612CEB">
        <w:rPr>
          <w:rFonts w:ascii="Aptos" w:eastAsia="Times New Roman" w:hAnsi="Aptos" w:cs="Times New Roman"/>
          <w:kern w:val="0"/>
          <w:sz w:val="22"/>
          <w:szCs w:val="22"/>
          <w:lang w:bidi="bn-IN"/>
          <w14:ligatures w14:val="none"/>
        </w:rPr>
        <w:t xml:space="preserve"> evidence-based decision-making and reporting</w:t>
      </w:r>
    </w:p>
    <w:p w14:paraId="008F26C6" w14:textId="1C7B9438" w:rsidR="00267073" w:rsidRPr="00612CEB" w:rsidRDefault="006D45BC" w:rsidP="00267073">
      <w:pPr>
        <w:rPr>
          <w:rFonts w:ascii="Aptos" w:hAnsi="Aptos"/>
          <w:b/>
          <w:bCs/>
          <w:smallCaps/>
          <w:spacing w:val="5"/>
          <w:sz w:val="28"/>
          <w:szCs w:val="28"/>
        </w:rPr>
      </w:pPr>
      <w:r w:rsidRPr="00612CEB">
        <w:rPr>
          <w:rStyle w:val="IntenseReference"/>
        </w:rPr>
        <w:t>4</w:t>
      </w:r>
      <w:r w:rsidR="00267073" w:rsidRPr="00612CEB">
        <w:rPr>
          <w:rStyle w:val="IntenseReference"/>
        </w:rPr>
        <w:t>. Scope of Work</w:t>
      </w:r>
      <w:r w:rsidR="00612CEB">
        <w:rPr>
          <w:rStyle w:val="IntenseReference"/>
        </w:rPr>
        <w:t xml:space="preserve"> and Key Actions</w:t>
      </w:r>
    </w:p>
    <w:p w14:paraId="3C6707F5" w14:textId="22004776" w:rsidR="00267073" w:rsidRPr="00612CEB" w:rsidRDefault="00267073" w:rsidP="00267073">
      <w:pPr>
        <w:rPr>
          <w:rFonts w:ascii="Aptos" w:hAnsi="Aptos" w:cstheme="minorHAnsi"/>
          <w:sz w:val="22"/>
          <w:szCs w:val="22"/>
        </w:rPr>
      </w:pPr>
      <w:r w:rsidRPr="00612CEB">
        <w:rPr>
          <w:rFonts w:ascii="Aptos" w:hAnsi="Aptos" w:cstheme="minorHAnsi"/>
          <w:sz w:val="22"/>
          <w:szCs w:val="22"/>
        </w:rPr>
        <w:t xml:space="preserve">The </w:t>
      </w:r>
      <w:r w:rsidR="00F52A90" w:rsidRPr="00612CEB">
        <w:rPr>
          <w:rFonts w:ascii="Aptos" w:hAnsi="Aptos" w:cstheme="minorHAnsi"/>
          <w:sz w:val="22"/>
          <w:szCs w:val="22"/>
        </w:rPr>
        <w:t>Firm/Joint Venture</w:t>
      </w:r>
      <w:r w:rsidR="00674162" w:rsidRPr="00612CEB">
        <w:rPr>
          <w:rFonts w:ascii="Aptos" w:hAnsi="Aptos" w:cstheme="minorHAnsi"/>
          <w:sz w:val="22"/>
          <w:szCs w:val="22"/>
        </w:rPr>
        <w:t xml:space="preserve"> </w:t>
      </w:r>
      <w:r w:rsidRPr="00612CEB">
        <w:rPr>
          <w:rFonts w:ascii="Aptos" w:hAnsi="Aptos" w:cstheme="minorHAnsi"/>
          <w:sz w:val="22"/>
          <w:szCs w:val="22"/>
        </w:rPr>
        <w:t>will undertake the following tasks:</w:t>
      </w:r>
    </w:p>
    <w:p w14:paraId="12C79393" w14:textId="75B93027" w:rsidR="00674162" w:rsidRPr="00612CEB" w:rsidRDefault="009D6139" w:rsidP="009D6139">
      <w:pPr>
        <w:spacing w:after="0"/>
        <w:rPr>
          <w:rFonts w:ascii="Aptos" w:hAnsi="Aptos"/>
          <w:b/>
          <w:bCs/>
          <w:sz w:val="22"/>
          <w:szCs w:val="22"/>
          <w:u w:val="single"/>
        </w:rPr>
      </w:pPr>
      <w:r w:rsidRPr="00612CEB">
        <w:rPr>
          <w:rFonts w:ascii="Aptos" w:hAnsi="Aptos"/>
          <w:b/>
          <w:bCs/>
          <w:sz w:val="22"/>
          <w:szCs w:val="22"/>
          <w:u w:val="single"/>
        </w:rPr>
        <w:t>T</w:t>
      </w:r>
      <w:r w:rsidR="00674162" w:rsidRPr="00612CEB">
        <w:rPr>
          <w:rFonts w:ascii="Aptos" w:hAnsi="Aptos"/>
          <w:b/>
          <w:bCs/>
          <w:sz w:val="22"/>
          <w:szCs w:val="22"/>
          <w:u w:val="single"/>
        </w:rPr>
        <w:t xml:space="preserve">ask </w:t>
      </w:r>
      <w:r w:rsidR="00707B57" w:rsidRPr="00612CEB">
        <w:rPr>
          <w:rFonts w:ascii="Aptos" w:hAnsi="Aptos"/>
          <w:b/>
          <w:bCs/>
          <w:sz w:val="22"/>
          <w:szCs w:val="22"/>
          <w:u w:val="single"/>
        </w:rPr>
        <w:t>1.4.1 - Define climate portfolio monitoring indicators and create data collection templates with automated dashboards</w:t>
      </w:r>
    </w:p>
    <w:p w14:paraId="0D752939" w14:textId="77777777" w:rsidR="00674162" w:rsidRPr="00612CEB" w:rsidRDefault="00674162" w:rsidP="009D6139">
      <w:pPr>
        <w:numPr>
          <w:ilvl w:val="0"/>
          <w:numId w:val="18"/>
        </w:numPr>
        <w:spacing w:after="0"/>
        <w:rPr>
          <w:rFonts w:ascii="Aptos" w:hAnsi="Aptos"/>
          <w:sz w:val="22"/>
          <w:szCs w:val="22"/>
        </w:rPr>
      </w:pPr>
      <w:r w:rsidRPr="00612CEB">
        <w:rPr>
          <w:rFonts w:ascii="Aptos" w:hAnsi="Aptos"/>
          <w:sz w:val="22"/>
          <w:szCs w:val="22"/>
        </w:rPr>
        <w:t xml:space="preserve">Define climate portfolio monitoring indicators </w:t>
      </w:r>
    </w:p>
    <w:p w14:paraId="62BB39BC" w14:textId="77777777" w:rsidR="00674162" w:rsidRPr="00612CEB" w:rsidRDefault="00674162" w:rsidP="009D6139">
      <w:pPr>
        <w:numPr>
          <w:ilvl w:val="0"/>
          <w:numId w:val="18"/>
        </w:numPr>
        <w:spacing w:after="0"/>
        <w:rPr>
          <w:rFonts w:ascii="Aptos" w:hAnsi="Aptos"/>
          <w:sz w:val="22"/>
          <w:szCs w:val="22"/>
        </w:rPr>
      </w:pPr>
      <w:r w:rsidRPr="00612CEB">
        <w:rPr>
          <w:rFonts w:ascii="Aptos" w:hAnsi="Aptos"/>
          <w:sz w:val="22"/>
          <w:szCs w:val="22"/>
        </w:rPr>
        <w:t xml:space="preserve">Develop indicator matrix with definitions and reporting structure </w:t>
      </w:r>
    </w:p>
    <w:p w14:paraId="579860DD" w14:textId="32AEBC7A" w:rsidR="00674162" w:rsidRDefault="00674162" w:rsidP="00A71A38">
      <w:pPr>
        <w:numPr>
          <w:ilvl w:val="0"/>
          <w:numId w:val="18"/>
        </w:numPr>
        <w:spacing w:after="0"/>
        <w:rPr>
          <w:rFonts w:ascii="Aptos" w:hAnsi="Aptos"/>
          <w:sz w:val="22"/>
          <w:szCs w:val="22"/>
        </w:rPr>
      </w:pPr>
      <w:r w:rsidRPr="00612CEB">
        <w:rPr>
          <w:rFonts w:ascii="Aptos" w:hAnsi="Aptos"/>
          <w:sz w:val="22"/>
          <w:szCs w:val="22"/>
        </w:rPr>
        <w:t xml:space="preserve">Design data collection templates and tools </w:t>
      </w:r>
      <w:r w:rsidR="00A71A38" w:rsidRPr="00612CEB">
        <w:rPr>
          <w:rFonts w:ascii="Aptos" w:hAnsi="Aptos"/>
          <w:sz w:val="22"/>
          <w:szCs w:val="22"/>
        </w:rPr>
        <w:t xml:space="preserve">with </w:t>
      </w:r>
      <w:r w:rsidRPr="00612CEB">
        <w:rPr>
          <w:rFonts w:ascii="Aptos" w:hAnsi="Aptos"/>
          <w:sz w:val="22"/>
          <w:szCs w:val="22"/>
        </w:rPr>
        <w:t xml:space="preserve">automated dashboard structure </w:t>
      </w:r>
    </w:p>
    <w:p w14:paraId="01B1032F" w14:textId="7F4FD833" w:rsidR="002B108D" w:rsidRDefault="002B108D" w:rsidP="00A71A38">
      <w:pPr>
        <w:numPr>
          <w:ilvl w:val="0"/>
          <w:numId w:val="18"/>
        </w:numPr>
        <w:spacing w:after="0"/>
        <w:rPr>
          <w:rFonts w:ascii="Aptos" w:hAnsi="Aptos"/>
          <w:sz w:val="22"/>
          <w:szCs w:val="22"/>
        </w:rPr>
      </w:pPr>
      <w:r>
        <w:rPr>
          <w:rFonts w:ascii="Aptos" w:hAnsi="Aptos"/>
          <w:sz w:val="22"/>
          <w:szCs w:val="22"/>
        </w:rPr>
        <w:lastRenderedPageBreak/>
        <w:t>Review and align the climate indicator framework with the ESG Framework being developed under ICCAP/ADA technical assistance</w:t>
      </w:r>
    </w:p>
    <w:p w14:paraId="5CA14F2F" w14:textId="21D53D8B" w:rsidR="002B108D" w:rsidRDefault="002B108D" w:rsidP="00A71A38">
      <w:pPr>
        <w:numPr>
          <w:ilvl w:val="0"/>
          <w:numId w:val="18"/>
        </w:numPr>
        <w:spacing w:after="0"/>
        <w:rPr>
          <w:rFonts w:ascii="Aptos" w:hAnsi="Aptos"/>
          <w:sz w:val="22"/>
          <w:szCs w:val="22"/>
        </w:rPr>
      </w:pPr>
      <w:r>
        <w:rPr>
          <w:rFonts w:ascii="Aptos" w:hAnsi="Aptos"/>
          <w:sz w:val="22"/>
          <w:szCs w:val="22"/>
        </w:rPr>
        <w:t>Include at least one client-level adaptation outcome indicator embedded in the MIS</w:t>
      </w:r>
    </w:p>
    <w:p w14:paraId="62EC3B63" w14:textId="07F4D1C4" w:rsidR="00A54178" w:rsidRPr="00612CEB" w:rsidRDefault="00A54178" w:rsidP="00A71A38">
      <w:pPr>
        <w:numPr>
          <w:ilvl w:val="0"/>
          <w:numId w:val="18"/>
        </w:numPr>
        <w:spacing w:after="0"/>
        <w:rPr>
          <w:rFonts w:ascii="Aptos" w:hAnsi="Aptos"/>
          <w:sz w:val="22"/>
          <w:szCs w:val="22"/>
        </w:rPr>
      </w:pPr>
      <w:r>
        <w:rPr>
          <w:rFonts w:ascii="Aptos" w:hAnsi="Aptos"/>
          <w:sz w:val="22"/>
          <w:szCs w:val="22"/>
        </w:rPr>
        <w:t>Align with the indicator set with ICCAP Output II reporting requirements, including borrower-level disaggregation by sex, income, occupation, ethnicity, location and disability status</w:t>
      </w:r>
    </w:p>
    <w:p w14:paraId="31B942FC" w14:textId="77777777" w:rsidR="00C53FE5" w:rsidRPr="00612CEB" w:rsidRDefault="00C53FE5" w:rsidP="009D6139">
      <w:pPr>
        <w:spacing w:after="0"/>
        <w:rPr>
          <w:rFonts w:ascii="Aptos" w:hAnsi="Aptos"/>
          <w:b/>
          <w:bCs/>
          <w:sz w:val="22"/>
          <w:szCs w:val="22"/>
          <w:u w:val="single"/>
        </w:rPr>
      </w:pPr>
    </w:p>
    <w:p w14:paraId="17319090" w14:textId="77777777" w:rsidR="00612CEB" w:rsidRPr="00612CEB" w:rsidRDefault="00674162" w:rsidP="00612CEB">
      <w:pPr>
        <w:spacing w:after="0"/>
        <w:rPr>
          <w:rFonts w:ascii="Aptos" w:hAnsi="Aptos"/>
          <w:b/>
          <w:bCs/>
          <w:sz w:val="22"/>
          <w:szCs w:val="22"/>
          <w:u w:val="single"/>
        </w:rPr>
      </w:pPr>
      <w:r w:rsidRPr="00612CEB">
        <w:rPr>
          <w:rFonts w:ascii="Aptos" w:hAnsi="Aptos"/>
          <w:b/>
          <w:bCs/>
          <w:sz w:val="22"/>
          <w:szCs w:val="22"/>
          <w:u w:val="single"/>
        </w:rPr>
        <w:t xml:space="preserve">Task </w:t>
      </w:r>
      <w:r w:rsidR="00CD1BBA" w:rsidRPr="00612CEB">
        <w:rPr>
          <w:rFonts w:ascii="Aptos" w:hAnsi="Aptos"/>
          <w:b/>
          <w:bCs/>
          <w:sz w:val="22"/>
          <w:szCs w:val="22"/>
          <w:u w:val="single"/>
        </w:rPr>
        <w:t>1.4.2 - Customize core banking software with loan categorization codes and automated reporting features</w:t>
      </w:r>
    </w:p>
    <w:p w14:paraId="2BA0B65B" w14:textId="48D10ECC" w:rsidR="00674162" w:rsidRPr="00612CEB" w:rsidRDefault="00674162" w:rsidP="00612CEB">
      <w:pPr>
        <w:pStyle w:val="ListParagraph"/>
        <w:numPr>
          <w:ilvl w:val="0"/>
          <w:numId w:val="39"/>
        </w:numPr>
        <w:spacing w:after="0"/>
        <w:rPr>
          <w:rFonts w:ascii="Aptos" w:hAnsi="Aptos"/>
          <w:sz w:val="22"/>
          <w:szCs w:val="22"/>
        </w:rPr>
      </w:pPr>
      <w:r w:rsidRPr="00612CEB">
        <w:rPr>
          <w:rFonts w:ascii="Aptos" w:hAnsi="Aptos"/>
          <w:sz w:val="22"/>
          <w:szCs w:val="22"/>
        </w:rPr>
        <w:t xml:space="preserve">Review existing MIS/core banking systems </w:t>
      </w:r>
    </w:p>
    <w:p w14:paraId="4F809654" w14:textId="77777777" w:rsidR="00674162" w:rsidRPr="00612CEB" w:rsidRDefault="00674162" w:rsidP="009D6139">
      <w:pPr>
        <w:numPr>
          <w:ilvl w:val="0"/>
          <w:numId w:val="19"/>
        </w:numPr>
        <w:spacing w:after="0"/>
        <w:rPr>
          <w:rFonts w:ascii="Aptos" w:hAnsi="Aptos"/>
          <w:sz w:val="22"/>
          <w:szCs w:val="22"/>
        </w:rPr>
      </w:pPr>
      <w:r w:rsidRPr="00612CEB">
        <w:rPr>
          <w:rFonts w:ascii="Aptos" w:hAnsi="Aptos"/>
          <w:sz w:val="22"/>
          <w:szCs w:val="22"/>
        </w:rPr>
        <w:t xml:space="preserve">Develop technical specifications for integration </w:t>
      </w:r>
    </w:p>
    <w:p w14:paraId="1313E31E" w14:textId="77777777" w:rsidR="00674162" w:rsidRPr="00612CEB" w:rsidRDefault="00674162" w:rsidP="009D6139">
      <w:pPr>
        <w:numPr>
          <w:ilvl w:val="0"/>
          <w:numId w:val="19"/>
        </w:numPr>
        <w:spacing w:after="0"/>
        <w:rPr>
          <w:rFonts w:ascii="Aptos" w:hAnsi="Aptos"/>
          <w:sz w:val="22"/>
          <w:szCs w:val="22"/>
        </w:rPr>
      </w:pPr>
      <w:r w:rsidRPr="00612CEB">
        <w:rPr>
          <w:rFonts w:ascii="Aptos" w:hAnsi="Aptos"/>
          <w:sz w:val="22"/>
          <w:szCs w:val="22"/>
        </w:rPr>
        <w:t xml:space="preserve">Support customization including: </w:t>
      </w:r>
    </w:p>
    <w:p w14:paraId="7CFCBE20" w14:textId="77777777" w:rsidR="00674162" w:rsidRPr="00612CEB" w:rsidRDefault="00674162" w:rsidP="009D6139">
      <w:pPr>
        <w:numPr>
          <w:ilvl w:val="1"/>
          <w:numId w:val="19"/>
        </w:numPr>
        <w:spacing w:after="0"/>
        <w:rPr>
          <w:rFonts w:ascii="Aptos" w:hAnsi="Aptos"/>
          <w:sz w:val="22"/>
          <w:szCs w:val="22"/>
        </w:rPr>
      </w:pPr>
      <w:r w:rsidRPr="00612CEB">
        <w:rPr>
          <w:rFonts w:ascii="Aptos" w:hAnsi="Aptos"/>
          <w:sz w:val="22"/>
          <w:szCs w:val="22"/>
        </w:rPr>
        <w:t xml:space="preserve">Loan categorization codes </w:t>
      </w:r>
    </w:p>
    <w:p w14:paraId="0716D5BA" w14:textId="77777777" w:rsidR="00674162" w:rsidRPr="00612CEB" w:rsidRDefault="00674162" w:rsidP="009D6139">
      <w:pPr>
        <w:numPr>
          <w:ilvl w:val="1"/>
          <w:numId w:val="19"/>
        </w:numPr>
        <w:spacing w:after="0"/>
        <w:rPr>
          <w:rFonts w:ascii="Aptos" w:hAnsi="Aptos"/>
          <w:sz w:val="22"/>
          <w:szCs w:val="22"/>
        </w:rPr>
      </w:pPr>
      <w:r w:rsidRPr="00612CEB">
        <w:rPr>
          <w:rFonts w:ascii="Aptos" w:hAnsi="Aptos"/>
          <w:sz w:val="22"/>
          <w:szCs w:val="22"/>
        </w:rPr>
        <w:t xml:space="preserve">Automated reporting features </w:t>
      </w:r>
    </w:p>
    <w:p w14:paraId="1211FD0A" w14:textId="77777777" w:rsidR="00674162" w:rsidRDefault="00674162" w:rsidP="009D6139">
      <w:pPr>
        <w:numPr>
          <w:ilvl w:val="0"/>
          <w:numId w:val="19"/>
        </w:numPr>
        <w:spacing w:after="0"/>
        <w:rPr>
          <w:rFonts w:ascii="Aptos" w:hAnsi="Aptos"/>
          <w:sz w:val="22"/>
          <w:szCs w:val="22"/>
        </w:rPr>
      </w:pPr>
      <w:r w:rsidRPr="00612CEB">
        <w:rPr>
          <w:rFonts w:ascii="Aptos" w:hAnsi="Aptos"/>
          <w:sz w:val="22"/>
          <w:szCs w:val="22"/>
        </w:rPr>
        <w:t xml:space="preserve">Ensure alignment with ICCAP reporting requirements </w:t>
      </w:r>
    </w:p>
    <w:p w14:paraId="7A791E06" w14:textId="67F23FBF" w:rsidR="000E2DF2" w:rsidRPr="00612CEB" w:rsidRDefault="000E2DF2" w:rsidP="009D6139">
      <w:pPr>
        <w:numPr>
          <w:ilvl w:val="0"/>
          <w:numId w:val="19"/>
        </w:numPr>
        <w:spacing w:after="0"/>
        <w:rPr>
          <w:rFonts w:ascii="Aptos" w:hAnsi="Aptos"/>
          <w:sz w:val="22"/>
          <w:szCs w:val="22"/>
        </w:rPr>
      </w:pPr>
      <w:r>
        <w:rPr>
          <w:rFonts w:ascii="Aptos" w:hAnsi="Aptos"/>
          <w:sz w:val="22"/>
          <w:szCs w:val="22"/>
        </w:rPr>
        <w:t>Design the indicator architecture and MIS customization for forward compatibility (so new indicators and reporting fields can be added through configuration rather than code redevelopment as climate disclosure standards evolve)</w:t>
      </w:r>
    </w:p>
    <w:p w14:paraId="5E0ACB5E" w14:textId="77777777" w:rsidR="00E43A6A" w:rsidRPr="00612CEB" w:rsidRDefault="00E43A6A" w:rsidP="00E43A6A">
      <w:pPr>
        <w:numPr>
          <w:ilvl w:val="0"/>
          <w:numId w:val="19"/>
        </w:numPr>
        <w:spacing w:after="0"/>
        <w:rPr>
          <w:rFonts w:ascii="Aptos" w:hAnsi="Aptos"/>
          <w:sz w:val="22"/>
          <w:szCs w:val="22"/>
        </w:rPr>
      </w:pPr>
      <w:r w:rsidRPr="00612CEB">
        <w:rPr>
          <w:rFonts w:ascii="Aptos" w:hAnsi="Aptos"/>
          <w:sz w:val="22"/>
          <w:szCs w:val="22"/>
        </w:rPr>
        <w:t xml:space="preserve">Conduct pilot testing in selected branches </w:t>
      </w:r>
    </w:p>
    <w:p w14:paraId="5F28BF05" w14:textId="77777777" w:rsidR="00E43A6A" w:rsidRPr="00612CEB" w:rsidRDefault="00E43A6A" w:rsidP="00E43A6A">
      <w:pPr>
        <w:numPr>
          <w:ilvl w:val="0"/>
          <w:numId w:val="19"/>
        </w:numPr>
        <w:spacing w:after="0"/>
        <w:rPr>
          <w:rFonts w:ascii="Aptos" w:hAnsi="Aptos"/>
          <w:sz w:val="22"/>
          <w:szCs w:val="22"/>
        </w:rPr>
      </w:pPr>
      <w:r w:rsidRPr="00612CEB">
        <w:rPr>
          <w:rFonts w:ascii="Aptos" w:hAnsi="Aptos"/>
          <w:sz w:val="22"/>
          <w:szCs w:val="22"/>
        </w:rPr>
        <w:t xml:space="preserve">Refine tools and systems based on feedback </w:t>
      </w:r>
    </w:p>
    <w:p w14:paraId="251E75C5" w14:textId="428CA596" w:rsidR="00E43A6A" w:rsidRPr="00612CEB" w:rsidRDefault="00E43A6A" w:rsidP="00E43A6A">
      <w:pPr>
        <w:numPr>
          <w:ilvl w:val="0"/>
          <w:numId w:val="19"/>
        </w:numPr>
        <w:spacing w:after="0"/>
        <w:rPr>
          <w:rFonts w:ascii="Aptos" w:hAnsi="Aptos"/>
          <w:sz w:val="22"/>
          <w:szCs w:val="22"/>
        </w:rPr>
      </w:pPr>
      <w:r w:rsidRPr="00612CEB">
        <w:rPr>
          <w:rFonts w:ascii="Aptos" w:hAnsi="Aptos"/>
          <w:sz w:val="22"/>
          <w:szCs w:val="22"/>
        </w:rPr>
        <w:t>Provide technical support during rollout</w:t>
      </w:r>
    </w:p>
    <w:p w14:paraId="0AC567A1" w14:textId="77777777" w:rsidR="00C53FE5" w:rsidRPr="00612CEB" w:rsidRDefault="00C53FE5" w:rsidP="009D6139">
      <w:pPr>
        <w:spacing w:after="0"/>
        <w:rPr>
          <w:rFonts w:ascii="Aptos" w:hAnsi="Aptos"/>
          <w:b/>
          <w:bCs/>
          <w:sz w:val="22"/>
          <w:szCs w:val="22"/>
          <w:u w:val="single"/>
        </w:rPr>
      </w:pPr>
    </w:p>
    <w:p w14:paraId="490FA92D" w14:textId="77A6BDC3" w:rsidR="00674162" w:rsidRPr="00612CEB" w:rsidRDefault="00674162" w:rsidP="009D6139">
      <w:pPr>
        <w:spacing w:after="0"/>
        <w:rPr>
          <w:rFonts w:ascii="Aptos" w:hAnsi="Aptos"/>
          <w:b/>
          <w:bCs/>
          <w:sz w:val="22"/>
          <w:szCs w:val="22"/>
          <w:u w:val="single"/>
        </w:rPr>
      </w:pPr>
      <w:r w:rsidRPr="00612CEB">
        <w:rPr>
          <w:rFonts w:ascii="Aptos" w:hAnsi="Aptos"/>
          <w:b/>
          <w:bCs/>
          <w:sz w:val="22"/>
          <w:szCs w:val="22"/>
          <w:u w:val="single"/>
        </w:rPr>
        <w:t xml:space="preserve">Task </w:t>
      </w:r>
      <w:r w:rsidR="00E43A6A" w:rsidRPr="00612CEB">
        <w:rPr>
          <w:rFonts w:ascii="Aptos" w:hAnsi="Aptos"/>
          <w:b/>
          <w:bCs/>
          <w:sz w:val="22"/>
          <w:szCs w:val="22"/>
          <w:u w:val="single"/>
        </w:rPr>
        <w:t xml:space="preserve">1.4.3 - Train relevant staff on data collection procedures and reporting protocols </w:t>
      </w:r>
    </w:p>
    <w:p w14:paraId="78D9F82A" w14:textId="77777777" w:rsidR="00674162" w:rsidRPr="00612CEB" w:rsidRDefault="00674162" w:rsidP="009D6139">
      <w:pPr>
        <w:numPr>
          <w:ilvl w:val="0"/>
          <w:numId w:val="20"/>
        </w:numPr>
        <w:spacing w:after="0"/>
        <w:rPr>
          <w:rFonts w:ascii="Aptos" w:hAnsi="Aptos"/>
          <w:sz w:val="22"/>
          <w:szCs w:val="22"/>
        </w:rPr>
      </w:pPr>
      <w:r w:rsidRPr="00612CEB">
        <w:rPr>
          <w:rFonts w:ascii="Aptos" w:hAnsi="Aptos"/>
          <w:sz w:val="22"/>
          <w:szCs w:val="22"/>
        </w:rPr>
        <w:t xml:space="preserve">Develop training materials </w:t>
      </w:r>
    </w:p>
    <w:p w14:paraId="5D1254C6" w14:textId="77777777" w:rsidR="00674162" w:rsidRPr="00612CEB" w:rsidRDefault="00674162" w:rsidP="009D6139">
      <w:pPr>
        <w:numPr>
          <w:ilvl w:val="0"/>
          <w:numId w:val="20"/>
        </w:numPr>
        <w:spacing w:after="0"/>
        <w:rPr>
          <w:rFonts w:ascii="Aptos" w:hAnsi="Aptos"/>
          <w:sz w:val="22"/>
          <w:szCs w:val="22"/>
        </w:rPr>
      </w:pPr>
      <w:r w:rsidRPr="00612CEB">
        <w:rPr>
          <w:rFonts w:ascii="Aptos" w:hAnsi="Aptos"/>
          <w:sz w:val="22"/>
          <w:szCs w:val="22"/>
        </w:rPr>
        <w:t xml:space="preserve">Train relevant staff on: </w:t>
      </w:r>
    </w:p>
    <w:p w14:paraId="234B10F7" w14:textId="77777777" w:rsidR="00674162" w:rsidRPr="00612CEB" w:rsidRDefault="00674162" w:rsidP="009D6139">
      <w:pPr>
        <w:numPr>
          <w:ilvl w:val="1"/>
          <w:numId w:val="20"/>
        </w:numPr>
        <w:spacing w:after="0"/>
        <w:rPr>
          <w:rFonts w:ascii="Aptos" w:hAnsi="Aptos"/>
          <w:sz w:val="22"/>
          <w:szCs w:val="22"/>
        </w:rPr>
      </w:pPr>
      <w:r w:rsidRPr="00612CEB">
        <w:rPr>
          <w:rFonts w:ascii="Aptos" w:hAnsi="Aptos"/>
          <w:sz w:val="22"/>
          <w:szCs w:val="22"/>
        </w:rPr>
        <w:t xml:space="preserve">Data collection procedures </w:t>
      </w:r>
    </w:p>
    <w:p w14:paraId="11D68FD3" w14:textId="387615A2" w:rsidR="00674162" w:rsidRPr="00612CEB" w:rsidRDefault="00674162" w:rsidP="009D6139">
      <w:pPr>
        <w:numPr>
          <w:ilvl w:val="1"/>
          <w:numId w:val="20"/>
        </w:numPr>
        <w:spacing w:after="0"/>
        <w:rPr>
          <w:rFonts w:ascii="Aptos" w:hAnsi="Aptos"/>
          <w:sz w:val="22"/>
          <w:szCs w:val="22"/>
        </w:rPr>
      </w:pPr>
      <w:r w:rsidRPr="00612CEB">
        <w:rPr>
          <w:rFonts w:ascii="Aptos" w:hAnsi="Aptos"/>
          <w:sz w:val="22"/>
          <w:szCs w:val="22"/>
        </w:rPr>
        <w:t xml:space="preserve">Reporting protocols </w:t>
      </w:r>
    </w:p>
    <w:p w14:paraId="2528BE2C" w14:textId="6453C203" w:rsidR="00D75850" w:rsidRPr="00612CEB" w:rsidRDefault="00D75850" w:rsidP="009D6139">
      <w:pPr>
        <w:numPr>
          <w:ilvl w:val="1"/>
          <w:numId w:val="20"/>
        </w:numPr>
        <w:spacing w:after="0"/>
        <w:rPr>
          <w:rFonts w:ascii="Aptos" w:hAnsi="Aptos"/>
          <w:sz w:val="22"/>
          <w:szCs w:val="22"/>
        </w:rPr>
      </w:pPr>
      <w:r w:rsidRPr="00612CEB">
        <w:rPr>
          <w:rFonts w:ascii="Aptos" w:hAnsi="Aptos"/>
          <w:sz w:val="22"/>
          <w:szCs w:val="22"/>
        </w:rPr>
        <w:t>Monitoring protocols</w:t>
      </w:r>
    </w:p>
    <w:p w14:paraId="6F585F0D" w14:textId="77777777" w:rsidR="00674162" w:rsidRPr="00612CEB" w:rsidRDefault="00674162" w:rsidP="009D6139">
      <w:pPr>
        <w:numPr>
          <w:ilvl w:val="1"/>
          <w:numId w:val="20"/>
        </w:numPr>
        <w:spacing w:after="0"/>
        <w:rPr>
          <w:rFonts w:ascii="Aptos" w:hAnsi="Aptos"/>
          <w:sz w:val="22"/>
          <w:szCs w:val="22"/>
        </w:rPr>
      </w:pPr>
      <w:r w:rsidRPr="00612CEB">
        <w:rPr>
          <w:rFonts w:ascii="Aptos" w:hAnsi="Aptos"/>
          <w:sz w:val="22"/>
          <w:szCs w:val="22"/>
        </w:rPr>
        <w:t xml:space="preserve">Use of dashboards and tools </w:t>
      </w:r>
    </w:p>
    <w:p w14:paraId="7843EE8A" w14:textId="77777777" w:rsidR="00C53FE5" w:rsidRPr="00612CEB" w:rsidRDefault="00C53FE5" w:rsidP="009D6139">
      <w:pPr>
        <w:spacing w:after="0"/>
        <w:rPr>
          <w:rFonts w:ascii="Aptos" w:hAnsi="Aptos"/>
          <w:b/>
          <w:bCs/>
          <w:sz w:val="22"/>
          <w:szCs w:val="22"/>
          <w:u w:val="single"/>
        </w:rPr>
      </w:pPr>
    </w:p>
    <w:p w14:paraId="5049E7BB" w14:textId="17BBE246" w:rsidR="00475276" w:rsidRPr="00612CEB" w:rsidRDefault="006D45BC" w:rsidP="00267073">
      <w:pPr>
        <w:rPr>
          <w:rStyle w:val="IntenseReference"/>
        </w:rPr>
      </w:pPr>
      <w:r w:rsidRPr="00612CEB">
        <w:rPr>
          <w:rStyle w:val="IntenseReference"/>
        </w:rPr>
        <w:t>5</w:t>
      </w:r>
      <w:r w:rsidR="004318A8" w:rsidRPr="00612CEB">
        <w:rPr>
          <w:rStyle w:val="IntenseReference"/>
        </w:rPr>
        <w:t xml:space="preserve">. </w:t>
      </w:r>
      <w:r w:rsidR="00475276" w:rsidRPr="00612CEB">
        <w:rPr>
          <w:rStyle w:val="IntenseReference"/>
        </w:rPr>
        <w:t xml:space="preserve">Expected </w:t>
      </w:r>
      <w:r w:rsidR="00612CEB">
        <w:rPr>
          <w:rStyle w:val="IntenseReference"/>
        </w:rPr>
        <w:t>O</w:t>
      </w:r>
      <w:r w:rsidR="00475276" w:rsidRPr="00612CEB">
        <w:rPr>
          <w:rStyle w:val="IntenseReference"/>
        </w:rPr>
        <w:t>utputs</w:t>
      </w:r>
    </w:p>
    <w:p w14:paraId="051F43F3" w14:textId="75B3D8CC" w:rsidR="002A5732" w:rsidRPr="00612CEB" w:rsidRDefault="002A5732" w:rsidP="002A5732">
      <w:pPr>
        <w:pStyle w:val="ListParagraph"/>
        <w:numPr>
          <w:ilvl w:val="0"/>
          <w:numId w:val="26"/>
        </w:numPr>
        <w:rPr>
          <w:rFonts w:ascii="Aptos" w:hAnsi="Aptos" w:cstheme="minorHAnsi"/>
          <w:sz w:val="22"/>
          <w:szCs w:val="22"/>
        </w:rPr>
      </w:pPr>
      <w:r w:rsidRPr="00612CEB">
        <w:rPr>
          <w:rFonts w:ascii="Aptos" w:hAnsi="Aptos" w:cstheme="minorHAnsi"/>
          <w:sz w:val="22"/>
          <w:szCs w:val="22"/>
        </w:rPr>
        <w:t xml:space="preserve">Climate Reporting and Monitoring Framework </w:t>
      </w:r>
    </w:p>
    <w:p w14:paraId="70F5EF38" w14:textId="77777777" w:rsidR="002A5732" w:rsidRPr="00612CEB" w:rsidRDefault="002A5732" w:rsidP="002A5732">
      <w:pPr>
        <w:pStyle w:val="ListParagraph"/>
        <w:numPr>
          <w:ilvl w:val="0"/>
          <w:numId w:val="26"/>
        </w:numPr>
        <w:rPr>
          <w:rFonts w:ascii="Aptos" w:hAnsi="Aptos" w:cstheme="minorHAnsi"/>
          <w:sz w:val="22"/>
          <w:szCs w:val="22"/>
        </w:rPr>
      </w:pPr>
      <w:r w:rsidRPr="00612CEB">
        <w:rPr>
          <w:rFonts w:ascii="Aptos" w:hAnsi="Aptos" w:cstheme="minorHAnsi"/>
          <w:sz w:val="22"/>
          <w:szCs w:val="22"/>
        </w:rPr>
        <w:t xml:space="preserve">Identified Climate indicators </w:t>
      </w:r>
    </w:p>
    <w:p w14:paraId="5EA51286" w14:textId="3C91EBAD" w:rsidR="002A5732" w:rsidRPr="00612CEB" w:rsidRDefault="00D245CC" w:rsidP="002A5732">
      <w:pPr>
        <w:pStyle w:val="ListParagraph"/>
        <w:numPr>
          <w:ilvl w:val="0"/>
          <w:numId w:val="26"/>
        </w:numPr>
        <w:rPr>
          <w:rFonts w:ascii="Aptos" w:hAnsi="Aptos" w:cstheme="minorHAnsi"/>
          <w:sz w:val="22"/>
          <w:szCs w:val="22"/>
        </w:rPr>
      </w:pPr>
      <w:r w:rsidRPr="00612CEB">
        <w:rPr>
          <w:rFonts w:ascii="Aptos" w:hAnsi="Aptos" w:cstheme="minorHAnsi"/>
          <w:sz w:val="22"/>
          <w:szCs w:val="22"/>
        </w:rPr>
        <w:t>Skill s</w:t>
      </w:r>
      <w:r w:rsidR="002A5732" w:rsidRPr="00612CEB">
        <w:rPr>
          <w:rFonts w:ascii="Aptos" w:hAnsi="Aptos" w:cstheme="minorHAnsi"/>
          <w:sz w:val="22"/>
          <w:szCs w:val="22"/>
        </w:rPr>
        <w:t>taff</w:t>
      </w:r>
      <w:r w:rsidRPr="00612CEB">
        <w:rPr>
          <w:rFonts w:ascii="Aptos" w:hAnsi="Aptos" w:cstheme="minorHAnsi"/>
          <w:sz w:val="22"/>
          <w:szCs w:val="22"/>
        </w:rPr>
        <w:t xml:space="preserve">s in </w:t>
      </w:r>
      <w:r w:rsidR="002A5732" w:rsidRPr="00612CEB">
        <w:rPr>
          <w:rFonts w:ascii="Aptos" w:hAnsi="Aptos" w:cstheme="minorHAnsi"/>
          <w:sz w:val="22"/>
          <w:szCs w:val="22"/>
        </w:rPr>
        <w:t xml:space="preserve">managing climate data </w:t>
      </w:r>
    </w:p>
    <w:p w14:paraId="3FA252C4" w14:textId="2EBFAF6D" w:rsidR="00575482" w:rsidRPr="00D77367" w:rsidRDefault="00D245CC" w:rsidP="00D77367">
      <w:pPr>
        <w:pStyle w:val="ListParagraph"/>
        <w:numPr>
          <w:ilvl w:val="0"/>
          <w:numId w:val="26"/>
        </w:numPr>
        <w:rPr>
          <w:rStyle w:val="IntenseReference"/>
          <w:rFonts w:cstheme="minorHAnsi"/>
          <w:b w:val="0"/>
          <w:bCs w:val="0"/>
          <w:smallCaps w:val="0"/>
          <w:spacing w:val="0"/>
          <w:sz w:val="22"/>
          <w:szCs w:val="22"/>
        </w:rPr>
      </w:pPr>
      <w:r w:rsidRPr="00612CEB">
        <w:rPr>
          <w:rFonts w:ascii="Aptos" w:hAnsi="Aptos" w:cstheme="minorHAnsi"/>
          <w:sz w:val="22"/>
          <w:szCs w:val="22"/>
        </w:rPr>
        <w:t>Structured</w:t>
      </w:r>
      <w:r w:rsidR="002A5732" w:rsidRPr="00612CEB">
        <w:rPr>
          <w:rFonts w:ascii="Aptos" w:hAnsi="Aptos" w:cstheme="minorHAnsi"/>
          <w:sz w:val="22"/>
          <w:szCs w:val="22"/>
        </w:rPr>
        <w:t xml:space="preserve"> reporting and decision-making </w:t>
      </w:r>
      <w:r w:rsidRPr="00612CEB">
        <w:rPr>
          <w:rFonts w:ascii="Aptos" w:hAnsi="Aptos" w:cstheme="minorHAnsi"/>
          <w:sz w:val="22"/>
          <w:szCs w:val="22"/>
        </w:rPr>
        <w:t>process</w:t>
      </w:r>
    </w:p>
    <w:p w14:paraId="577454F4" w14:textId="77777777" w:rsidR="007B6B1A" w:rsidRDefault="007B6B1A">
      <w:pPr>
        <w:rPr>
          <w:rStyle w:val="IntenseReference"/>
        </w:rPr>
      </w:pPr>
      <w:r>
        <w:rPr>
          <w:rStyle w:val="IntenseReference"/>
        </w:rPr>
        <w:br w:type="page"/>
      </w:r>
    </w:p>
    <w:p w14:paraId="0A3A5DD2" w14:textId="1DD03455" w:rsidR="00267073" w:rsidRPr="00612CEB" w:rsidRDefault="00475276" w:rsidP="00267073">
      <w:pPr>
        <w:rPr>
          <w:rStyle w:val="IntenseReference"/>
        </w:rPr>
      </w:pPr>
      <w:r w:rsidRPr="00612CEB">
        <w:rPr>
          <w:rStyle w:val="IntenseReference"/>
        </w:rPr>
        <w:lastRenderedPageBreak/>
        <w:t xml:space="preserve">6. </w:t>
      </w:r>
      <w:r w:rsidR="004318A8" w:rsidRPr="00612CEB">
        <w:rPr>
          <w:rStyle w:val="IntenseReference"/>
        </w:rPr>
        <w:t>Deliverables</w:t>
      </w:r>
      <w:r w:rsidR="004A2440" w:rsidRPr="00612CEB">
        <w:rPr>
          <w:rStyle w:val="IntenseReference"/>
        </w:rPr>
        <w:t xml:space="preserve">, </w:t>
      </w:r>
      <w:r w:rsidR="004318A8" w:rsidRPr="00612CEB">
        <w:rPr>
          <w:rStyle w:val="IntenseReference"/>
        </w:rPr>
        <w:t>Timeline</w:t>
      </w:r>
      <w:r w:rsidR="004A2440" w:rsidRPr="00612CEB">
        <w:rPr>
          <w:rStyle w:val="IntenseReference"/>
        </w:rPr>
        <w:t xml:space="preserve"> and Payment Schedule</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2340"/>
        <w:gridCol w:w="1980"/>
      </w:tblGrid>
      <w:tr w:rsidR="001A065D" w:rsidRPr="00612CEB" w14:paraId="1490715D" w14:textId="77777777" w:rsidTr="005C5D3C">
        <w:trPr>
          <w:trHeight w:val="458"/>
        </w:trPr>
        <w:tc>
          <w:tcPr>
            <w:tcW w:w="5040" w:type="dxa"/>
            <w:shd w:val="clear" w:color="auto" w:fill="002060"/>
            <w:vAlign w:val="center"/>
            <w:hideMark/>
          </w:tcPr>
          <w:p w14:paraId="106BA200" w14:textId="77777777" w:rsidR="001A065D" w:rsidRPr="00612CEB" w:rsidRDefault="001A065D" w:rsidP="00053806">
            <w:pPr>
              <w:spacing w:after="0" w:line="240" w:lineRule="auto"/>
              <w:jc w:val="center"/>
              <w:rPr>
                <w:rFonts w:ascii="Aptos" w:eastAsia="Times New Roman" w:hAnsi="Aptos" w:cstheme="minorHAnsi"/>
                <w:b/>
                <w:bCs/>
                <w:color w:val="FFFFFF" w:themeColor="background1"/>
                <w:kern w:val="0"/>
                <w:sz w:val="22"/>
                <w:szCs w:val="22"/>
                <w:lang w:bidi="bn-IN"/>
                <w14:ligatures w14:val="none"/>
              </w:rPr>
            </w:pPr>
            <w:r w:rsidRPr="00612CEB">
              <w:rPr>
                <w:rFonts w:ascii="Aptos" w:eastAsia="Times New Roman" w:hAnsi="Aptos" w:cstheme="minorHAnsi"/>
                <w:b/>
                <w:bCs/>
                <w:color w:val="FFFFFF" w:themeColor="background1"/>
                <w:kern w:val="0"/>
                <w:sz w:val="22"/>
                <w:szCs w:val="22"/>
                <w:lang w:bidi="bn-IN"/>
                <w14:ligatures w14:val="none"/>
              </w:rPr>
              <w:t>Deliverable</w:t>
            </w:r>
          </w:p>
        </w:tc>
        <w:tc>
          <w:tcPr>
            <w:tcW w:w="2340" w:type="dxa"/>
            <w:shd w:val="clear" w:color="auto" w:fill="002060"/>
            <w:vAlign w:val="center"/>
          </w:tcPr>
          <w:p w14:paraId="255885F8" w14:textId="78D21D22" w:rsidR="001A065D" w:rsidRPr="00612CEB" w:rsidRDefault="001A065D" w:rsidP="00053806">
            <w:pPr>
              <w:spacing w:after="0" w:line="240" w:lineRule="auto"/>
              <w:jc w:val="center"/>
              <w:rPr>
                <w:rFonts w:ascii="Aptos" w:eastAsia="Times New Roman" w:hAnsi="Aptos" w:cstheme="minorHAnsi"/>
                <w:b/>
                <w:bCs/>
                <w:color w:val="FFFFFF" w:themeColor="background1"/>
                <w:kern w:val="0"/>
                <w:sz w:val="22"/>
                <w:szCs w:val="22"/>
                <w:lang w:bidi="bn-IN"/>
                <w14:ligatures w14:val="none"/>
              </w:rPr>
            </w:pPr>
            <w:r w:rsidRPr="00612CEB">
              <w:rPr>
                <w:rFonts w:ascii="Aptos" w:eastAsia="Times New Roman" w:hAnsi="Aptos" w:cstheme="minorHAnsi"/>
                <w:b/>
                <w:bCs/>
                <w:color w:val="FFFFFF" w:themeColor="background1"/>
                <w:kern w:val="0"/>
                <w:sz w:val="22"/>
                <w:szCs w:val="22"/>
                <w:lang w:bidi="bn-IN"/>
                <w14:ligatures w14:val="none"/>
              </w:rPr>
              <w:t>Timeline</w:t>
            </w:r>
          </w:p>
        </w:tc>
        <w:tc>
          <w:tcPr>
            <w:tcW w:w="1980" w:type="dxa"/>
            <w:shd w:val="clear" w:color="auto" w:fill="002060"/>
            <w:vAlign w:val="center"/>
            <w:hideMark/>
          </w:tcPr>
          <w:p w14:paraId="0936C0D5" w14:textId="12939986" w:rsidR="001A065D" w:rsidRPr="00612CEB" w:rsidRDefault="001A065D" w:rsidP="00053806">
            <w:pPr>
              <w:spacing w:after="0" w:line="240" w:lineRule="auto"/>
              <w:jc w:val="center"/>
              <w:rPr>
                <w:rFonts w:ascii="Aptos" w:eastAsia="Times New Roman" w:hAnsi="Aptos" w:cstheme="minorHAnsi"/>
                <w:b/>
                <w:bCs/>
                <w:color w:val="FFFFFF" w:themeColor="background1"/>
                <w:kern w:val="0"/>
                <w:sz w:val="22"/>
                <w:szCs w:val="22"/>
                <w:lang w:bidi="bn-IN"/>
                <w14:ligatures w14:val="none"/>
              </w:rPr>
            </w:pPr>
            <w:r w:rsidRPr="00612CEB">
              <w:rPr>
                <w:rFonts w:ascii="Aptos" w:eastAsia="Times New Roman" w:hAnsi="Aptos" w:cstheme="minorHAnsi"/>
                <w:b/>
                <w:bCs/>
                <w:color w:val="FFFFFF" w:themeColor="background1"/>
                <w:kern w:val="0"/>
                <w:sz w:val="22"/>
                <w:szCs w:val="22"/>
                <w:lang w:bidi="bn-IN"/>
                <w14:ligatures w14:val="none"/>
              </w:rPr>
              <w:t>Payment %</w:t>
            </w:r>
          </w:p>
        </w:tc>
      </w:tr>
      <w:tr w:rsidR="001A065D" w:rsidRPr="00612CEB" w14:paraId="366BA8A2" w14:textId="77777777" w:rsidTr="00512D04">
        <w:trPr>
          <w:trHeight w:val="359"/>
        </w:trPr>
        <w:tc>
          <w:tcPr>
            <w:tcW w:w="5040" w:type="dxa"/>
            <w:vAlign w:val="center"/>
            <w:hideMark/>
          </w:tcPr>
          <w:p w14:paraId="0459C94A" w14:textId="77777777" w:rsidR="001A065D" w:rsidRPr="00612CEB" w:rsidRDefault="001A065D" w:rsidP="00053806">
            <w:pPr>
              <w:spacing w:after="0" w:line="240" w:lineRule="auto"/>
              <w:rPr>
                <w:rFonts w:ascii="Aptos" w:eastAsia="Times New Roman" w:hAnsi="Aptos" w:cstheme="minorHAnsi"/>
                <w:b/>
                <w:bCs/>
                <w:color w:val="000000"/>
                <w:kern w:val="0"/>
                <w:sz w:val="20"/>
                <w:szCs w:val="20"/>
                <w:lang w:bidi="bn-IN"/>
                <w14:ligatures w14:val="none"/>
              </w:rPr>
            </w:pPr>
            <w:r w:rsidRPr="00612CEB">
              <w:rPr>
                <w:rFonts w:ascii="Aptos" w:eastAsia="Times New Roman" w:hAnsi="Aptos" w:cstheme="minorHAnsi"/>
                <w:b/>
                <w:bCs/>
                <w:color w:val="000000"/>
                <w:kern w:val="0"/>
                <w:sz w:val="20"/>
                <w:szCs w:val="20"/>
                <w:lang w:bidi="bn-IN"/>
                <w14:ligatures w14:val="none"/>
              </w:rPr>
              <w:t>Inception Report</w:t>
            </w:r>
          </w:p>
        </w:tc>
        <w:tc>
          <w:tcPr>
            <w:tcW w:w="2340" w:type="dxa"/>
            <w:vAlign w:val="center"/>
          </w:tcPr>
          <w:p w14:paraId="4DC1E040" w14:textId="2FB4AC32" w:rsidR="001A065D" w:rsidRPr="00612CEB" w:rsidRDefault="001A065D" w:rsidP="00053806">
            <w:pPr>
              <w:spacing w:after="0" w:line="240" w:lineRule="auto"/>
              <w:jc w:val="center"/>
              <w:rPr>
                <w:rFonts w:ascii="Aptos" w:eastAsia="Times New Roman" w:hAnsi="Aptos" w:cstheme="minorHAnsi"/>
                <w:b/>
                <w:bCs/>
                <w:color w:val="000000"/>
                <w:kern w:val="0"/>
                <w:sz w:val="20"/>
                <w:szCs w:val="20"/>
                <w:lang w:bidi="bn-IN"/>
                <w14:ligatures w14:val="none"/>
              </w:rPr>
            </w:pPr>
            <w:r w:rsidRPr="00612CEB">
              <w:rPr>
                <w:rFonts w:ascii="Aptos" w:eastAsia="Times New Roman" w:hAnsi="Aptos" w:cstheme="minorHAnsi"/>
                <w:b/>
                <w:bCs/>
                <w:color w:val="000000"/>
                <w:kern w:val="0"/>
                <w:sz w:val="20"/>
                <w:szCs w:val="20"/>
                <w:lang w:bidi="bn-IN"/>
                <w14:ligatures w14:val="none"/>
              </w:rPr>
              <w:t>Month 1</w:t>
            </w:r>
          </w:p>
        </w:tc>
        <w:tc>
          <w:tcPr>
            <w:tcW w:w="1980" w:type="dxa"/>
            <w:vAlign w:val="center"/>
            <w:hideMark/>
          </w:tcPr>
          <w:p w14:paraId="283C8FF6" w14:textId="6C15AAA8" w:rsidR="001A065D" w:rsidRPr="00612CEB" w:rsidRDefault="001A065D" w:rsidP="00053806">
            <w:pPr>
              <w:spacing w:after="0" w:line="240" w:lineRule="auto"/>
              <w:jc w:val="center"/>
              <w:rPr>
                <w:rFonts w:ascii="Aptos" w:eastAsia="Times New Roman" w:hAnsi="Aptos" w:cstheme="minorHAnsi"/>
                <w:b/>
                <w:bCs/>
                <w:color w:val="000000"/>
                <w:kern w:val="0"/>
                <w:sz w:val="20"/>
                <w:szCs w:val="20"/>
                <w:lang w:bidi="bn-IN"/>
                <w14:ligatures w14:val="none"/>
              </w:rPr>
            </w:pPr>
            <w:r w:rsidRPr="00612CEB">
              <w:rPr>
                <w:rFonts w:ascii="Aptos" w:eastAsia="Times New Roman" w:hAnsi="Aptos" w:cstheme="minorHAnsi"/>
                <w:b/>
                <w:bCs/>
                <w:color w:val="000000"/>
                <w:kern w:val="0"/>
                <w:sz w:val="20"/>
                <w:szCs w:val="20"/>
                <w:lang w:bidi="bn-IN"/>
                <w14:ligatures w14:val="none"/>
              </w:rPr>
              <w:t>1</w:t>
            </w:r>
            <w:r w:rsidR="0006210D" w:rsidRPr="00612CEB">
              <w:rPr>
                <w:rFonts w:ascii="Aptos" w:eastAsia="Times New Roman" w:hAnsi="Aptos" w:cstheme="minorHAnsi"/>
                <w:b/>
                <w:bCs/>
                <w:color w:val="000000"/>
                <w:kern w:val="0"/>
                <w:sz w:val="20"/>
                <w:szCs w:val="20"/>
                <w:lang w:bidi="bn-IN"/>
                <w14:ligatures w14:val="none"/>
              </w:rPr>
              <w:t>5</w:t>
            </w:r>
            <w:r w:rsidRPr="00612CEB">
              <w:rPr>
                <w:rFonts w:ascii="Aptos" w:eastAsia="Times New Roman" w:hAnsi="Aptos" w:cstheme="minorHAnsi"/>
                <w:b/>
                <w:bCs/>
                <w:color w:val="000000"/>
                <w:kern w:val="0"/>
                <w:sz w:val="20"/>
                <w:szCs w:val="20"/>
                <w:lang w:bidi="bn-IN"/>
                <w14:ligatures w14:val="none"/>
              </w:rPr>
              <w:t>%</w:t>
            </w:r>
          </w:p>
        </w:tc>
      </w:tr>
      <w:tr w:rsidR="001A065D" w:rsidRPr="00612CEB" w14:paraId="2DA3EC38" w14:textId="77777777" w:rsidTr="00512D04">
        <w:trPr>
          <w:trHeight w:val="431"/>
        </w:trPr>
        <w:tc>
          <w:tcPr>
            <w:tcW w:w="5040" w:type="dxa"/>
            <w:shd w:val="clear" w:color="auto" w:fill="F2F2F2" w:themeFill="background1" w:themeFillShade="F2"/>
            <w:vAlign w:val="center"/>
            <w:hideMark/>
          </w:tcPr>
          <w:p w14:paraId="5B3127A4" w14:textId="2D18949F" w:rsidR="001A065D" w:rsidRPr="00612CEB" w:rsidRDefault="00FB2E73" w:rsidP="00053806">
            <w:pPr>
              <w:spacing w:after="0" w:line="240" w:lineRule="auto"/>
              <w:rPr>
                <w:rFonts w:ascii="Aptos" w:eastAsia="Times New Roman" w:hAnsi="Aptos" w:cstheme="minorHAnsi"/>
                <w:b/>
                <w:bCs/>
                <w:color w:val="000000"/>
                <w:kern w:val="0"/>
                <w:sz w:val="20"/>
                <w:szCs w:val="20"/>
                <w:lang w:bidi="bn-IN"/>
                <w14:ligatures w14:val="none"/>
              </w:rPr>
            </w:pPr>
            <w:r w:rsidRPr="00612CEB">
              <w:rPr>
                <w:rFonts w:ascii="Aptos" w:eastAsia="Times New Roman" w:hAnsi="Aptos" w:cstheme="minorHAnsi"/>
                <w:b/>
                <w:bCs/>
                <w:color w:val="000000"/>
                <w:kern w:val="0"/>
                <w:sz w:val="20"/>
                <w:szCs w:val="20"/>
                <w:lang w:bidi="bn-IN"/>
                <w14:ligatures w14:val="none"/>
              </w:rPr>
              <w:t>Climate Indicator Framework</w:t>
            </w:r>
          </w:p>
        </w:tc>
        <w:tc>
          <w:tcPr>
            <w:tcW w:w="2340" w:type="dxa"/>
            <w:shd w:val="clear" w:color="auto" w:fill="F2F2F2" w:themeFill="background1" w:themeFillShade="F2"/>
            <w:vAlign w:val="center"/>
          </w:tcPr>
          <w:p w14:paraId="6284F4C5" w14:textId="413EC3F8" w:rsidR="001A065D" w:rsidRPr="00612CEB" w:rsidRDefault="001A065D" w:rsidP="00053806">
            <w:pPr>
              <w:spacing w:after="0" w:line="240" w:lineRule="auto"/>
              <w:jc w:val="center"/>
              <w:rPr>
                <w:rFonts w:ascii="Aptos" w:eastAsia="Times New Roman" w:hAnsi="Aptos" w:cstheme="minorHAnsi"/>
                <w:b/>
                <w:bCs/>
                <w:color w:val="000000"/>
                <w:kern w:val="0"/>
                <w:sz w:val="20"/>
                <w:szCs w:val="20"/>
                <w:lang w:bidi="bn-IN"/>
                <w14:ligatures w14:val="none"/>
              </w:rPr>
            </w:pPr>
            <w:r w:rsidRPr="00612CEB">
              <w:rPr>
                <w:rFonts w:ascii="Aptos" w:eastAsia="Times New Roman" w:hAnsi="Aptos" w:cstheme="minorHAnsi"/>
                <w:b/>
                <w:bCs/>
                <w:color w:val="000000"/>
                <w:kern w:val="0"/>
                <w:sz w:val="20"/>
                <w:szCs w:val="20"/>
                <w:lang w:bidi="bn-IN"/>
                <w14:ligatures w14:val="none"/>
              </w:rPr>
              <w:t>Month 2</w:t>
            </w:r>
          </w:p>
        </w:tc>
        <w:tc>
          <w:tcPr>
            <w:tcW w:w="1980" w:type="dxa"/>
            <w:shd w:val="clear" w:color="auto" w:fill="F2F2F2" w:themeFill="background1" w:themeFillShade="F2"/>
            <w:vAlign w:val="center"/>
            <w:hideMark/>
          </w:tcPr>
          <w:p w14:paraId="03AD6262" w14:textId="526356EC" w:rsidR="001A065D" w:rsidRPr="00612CEB" w:rsidRDefault="0006210D" w:rsidP="00053806">
            <w:pPr>
              <w:spacing w:after="0" w:line="240" w:lineRule="auto"/>
              <w:jc w:val="center"/>
              <w:rPr>
                <w:rFonts w:ascii="Aptos" w:eastAsia="Times New Roman" w:hAnsi="Aptos" w:cstheme="minorHAnsi"/>
                <w:b/>
                <w:bCs/>
                <w:color w:val="000000"/>
                <w:kern w:val="0"/>
                <w:sz w:val="20"/>
                <w:szCs w:val="20"/>
                <w:lang w:bidi="bn-IN"/>
                <w14:ligatures w14:val="none"/>
              </w:rPr>
            </w:pPr>
            <w:r w:rsidRPr="00612CEB">
              <w:rPr>
                <w:rFonts w:ascii="Aptos" w:eastAsia="Times New Roman" w:hAnsi="Aptos" w:cstheme="minorHAnsi"/>
                <w:b/>
                <w:bCs/>
                <w:color w:val="000000"/>
                <w:kern w:val="0"/>
                <w:sz w:val="20"/>
                <w:szCs w:val="20"/>
                <w:lang w:bidi="bn-IN"/>
                <w14:ligatures w14:val="none"/>
              </w:rPr>
              <w:t>2</w:t>
            </w:r>
            <w:r w:rsidR="001A065D" w:rsidRPr="00612CEB">
              <w:rPr>
                <w:rFonts w:ascii="Aptos" w:eastAsia="Times New Roman" w:hAnsi="Aptos" w:cstheme="minorHAnsi"/>
                <w:b/>
                <w:bCs/>
                <w:color w:val="000000"/>
                <w:kern w:val="0"/>
                <w:sz w:val="20"/>
                <w:szCs w:val="20"/>
                <w:lang w:bidi="bn-IN"/>
                <w14:ligatures w14:val="none"/>
              </w:rPr>
              <w:t>0%</w:t>
            </w:r>
          </w:p>
        </w:tc>
      </w:tr>
      <w:tr w:rsidR="006C02F5" w:rsidRPr="00612CEB" w14:paraId="172BAE01" w14:textId="77777777" w:rsidTr="00512D04">
        <w:trPr>
          <w:trHeight w:val="440"/>
        </w:trPr>
        <w:tc>
          <w:tcPr>
            <w:tcW w:w="5040" w:type="dxa"/>
            <w:vAlign w:val="center"/>
            <w:hideMark/>
          </w:tcPr>
          <w:p w14:paraId="04A9F70A" w14:textId="1DBD1ECD" w:rsidR="006C02F5" w:rsidRPr="00612CEB" w:rsidRDefault="006C02F5" w:rsidP="00053806">
            <w:pPr>
              <w:spacing w:after="0" w:line="240" w:lineRule="auto"/>
              <w:rPr>
                <w:rFonts w:ascii="Aptos" w:eastAsia="Times New Roman" w:hAnsi="Aptos" w:cstheme="minorHAnsi"/>
                <w:b/>
                <w:bCs/>
                <w:color w:val="000000"/>
                <w:kern w:val="0"/>
                <w:sz w:val="20"/>
                <w:szCs w:val="20"/>
                <w:lang w:bidi="bn-IN"/>
                <w14:ligatures w14:val="none"/>
              </w:rPr>
            </w:pPr>
            <w:r w:rsidRPr="00612CEB">
              <w:rPr>
                <w:rFonts w:ascii="Aptos" w:eastAsia="Times New Roman" w:hAnsi="Aptos" w:cstheme="minorHAnsi"/>
                <w:b/>
                <w:bCs/>
                <w:color w:val="000000"/>
                <w:kern w:val="0"/>
                <w:sz w:val="20"/>
                <w:szCs w:val="20"/>
                <w:lang w:bidi="bn-IN"/>
                <w14:ligatures w14:val="none"/>
              </w:rPr>
              <w:t>Data Collection Tools &amp; Dashboard Design</w:t>
            </w:r>
          </w:p>
        </w:tc>
        <w:tc>
          <w:tcPr>
            <w:tcW w:w="2340" w:type="dxa"/>
            <w:vAlign w:val="center"/>
          </w:tcPr>
          <w:p w14:paraId="43FBE0FB" w14:textId="1FF0D7B7" w:rsidR="006C02F5" w:rsidRPr="00612CEB" w:rsidRDefault="006C02F5" w:rsidP="00053806">
            <w:pPr>
              <w:spacing w:after="0" w:line="240" w:lineRule="auto"/>
              <w:jc w:val="center"/>
              <w:rPr>
                <w:rFonts w:ascii="Aptos" w:eastAsia="Times New Roman" w:hAnsi="Aptos" w:cstheme="minorHAnsi"/>
                <w:b/>
                <w:bCs/>
                <w:color w:val="000000"/>
                <w:kern w:val="0"/>
                <w:sz w:val="20"/>
                <w:szCs w:val="20"/>
                <w:lang w:bidi="bn-IN"/>
                <w14:ligatures w14:val="none"/>
              </w:rPr>
            </w:pPr>
            <w:r w:rsidRPr="00612CEB">
              <w:rPr>
                <w:rFonts w:ascii="Aptos" w:eastAsia="Times New Roman" w:hAnsi="Aptos" w:cstheme="minorHAnsi"/>
                <w:b/>
                <w:bCs/>
                <w:color w:val="000000"/>
                <w:kern w:val="0"/>
                <w:sz w:val="20"/>
                <w:szCs w:val="20"/>
                <w:lang w:bidi="bn-IN"/>
                <w14:ligatures w14:val="none"/>
              </w:rPr>
              <w:t>Month 3</w:t>
            </w:r>
          </w:p>
        </w:tc>
        <w:tc>
          <w:tcPr>
            <w:tcW w:w="1980" w:type="dxa"/>
            <w:vMerge w:val="restart"/>
            <w:vAlign w:val="center"/>
            <w:hideMark/>
          </w:tcPr>
          <w:p w14:paraId="79824F5D" w14:textId="550ACCDF" w:rsidR="006C02F5" w:rsidRPr="00612CEB" w:rsidRDefault="006C02F5" w:rsidP="006C02F5">
            <w:pPr>
              <w:spacing w:after="0" w:line="240" w:lineRule="auto"/>
              <w:jc w:val="center"/>
              <w:rPr>
                <w:rFonts w:ascii="Aptos" w:eastAsia="Times New Roman" w:hAnsi="Aptos" w:cstheme="minorHAnsi"/>
                <w:b/>
                <w:bCs/>
                <w:color w:val="000000"/>
                <w:kern w:val="0"/>
                <w:sz w:val="20"/>
                <w:szCs w:val="20"/>
                <w:lang w:bidi="bn-IN"/>
                <w14:ligatures w14:val="none"/>
              </w:rPr>
            </w:pPr>
            <w:r w:rsidRPr="00612CEB">
              <w:rPr>
                <w:rFonts w:ascii="Aptos" w:eastAsia="Times New Roman" w:hAnsi="Aptos" w:cstheme="minorHAnsi"/>
                <w:b/>
                <w:bCs/>
                <w:color w:val="000000"/>
                <w:kern w:val="0"/>
                <w:sz w:val="20"/>
                <w:szCs w:val="20"/>
                <w:lang w:bidi="bn-IN"/>
                <w14:ligatures w14:val="none"/>
              </w:rPr>
              <w:t>20%</w:t>
            </w:r>
          </w:p>
        </w:tc>
      </w:tr>
      <w:tr w:rsidR="006C02F5" w:rsidRPr="00612CEB" w14:paraId="049C8CE7" w14:textId="77777777" w:rsidTr="00512D04">
        <w:trPr>
          <w:trHeight w:val="449"/>
        </w:trPr>
        <w:tc>
          <w:tcPr>
            <w:tcW w:w="5040" w:type="dxa"/>
            <w:shd w:val="clear" w:color="auto" w:fill="F2F2F2" w:themeFill="background1" w:themeFillShade="F2"/>
            <w:vAlign w:val="center"/>
            <w:hideMark/>
          </w:tcPr>
          <w:p w14:paraId="01BF22BA" w14:textId="55D51F51" w:rsidR="006C02F5" w:rsidRPr="00612CEB" w:rsidRDefault="006C02F5" w:rsidP="00053806">
            <w:pPr>
              <w:spacing w:after="0" w:line="240" w:lineRule="auto"/>
              <w:rPr>
                <w:rFonts w:ascii="Aptos" w:eastAsia="Times New Roman" w:hAnsi="Aptos" w:cstheme="minorHAnsi"/>
                <w:b/>
                <w:bCs/>
                <w:color w:val="000000"/>
                <w:kern w:val="0"/>
                <w:sz w:val="20"/>
                <w:szCs w:val="20"/>
                <w:lang w:bidi="bn-IN"/>
                <w14:ligatures w14:val="none"/>
              </w:rPr>
            </w:pPr>
            <w:r w:rsidRPr="00612CEB">
              <w:rPr>
                <w:rFonts w:ascii="Aptos" w:eastAsia="Times New Roman" w:hAnsi="Aptos" w:cstheme="minorHAnsi"/>
                <w:b/>
                <w:bCs/>
                <w:color w:val="000000"/>
                <w:kern w:val="0"/>
                <w:sz w:val="20"/>
                <w:szCs w:val="20"/>
                <w:lang w:bidi="bn-IN"/>
                <w14:ligatures w14:val="none"/>
              </w:rPr>
              <w:t>MIS Integration &amp; Customization Guidance</w:t>
            </w:r>
          </w:p>
        </w:tc>
        <w:tc>
          <w:tcPr>
            <w:tcW w:w="2340" w:type="dxa"/>
            <w:shd w:val="clear" w:color="auto" w:fill="F2F2F2" w:themeFill="background1" w:themeFillShade="F2"/>
            <w:vAlign w:val="center"/>
          </w:tcPr>
          <w:p w14:paraId="74D18D05" w14:textId="4EE32E7A" w:rsidR="006C02F5" w:rsidRPr="00612CEB" w:rsidRDefault="006C02F5" w:rsidP="00053806">
            <w:pPr>
              <w:spacing w:after="0" w:line="240" w:lineRule="auto"/>
              <w:jc w:val="center"/>
              <w:rPr>
                <w:rFonts w:ascii="Aptos" w:eastAsia="Times New Roman" w:hAnsi="Aptos" w:cstheme="minorHAnsi"/>
                <w:b/>
                <w:bCs/>
                <w:color w:val="000000"/>
                <w:kern w:val="0"/>
                <w:sz w:val="20"/>
                <w:szCs w:val="20"/>
                <w:lang w:bidi="bn-IN"/>
                <w14:ligatures w14:val="none"/>
              </w:rPr>
            </w:pPr>
            <w:r w:rsidRPr="00612CEB">
              <w:rPr>
                <w:rFonts w:ascii="Aptos" w:eastAsia="Times New Roman" w:hAnsi="Aptos" w:cstheme="minorHAnsi"/>
                <w:b/>
                <w:bCs/>
                <w:color w:val="000000"/>
                <w:kern w:val="0"/>
                <w:sz w:val="20"/>
                <w:szCs w:val="20"/>
                <w:lang w:bidi="bn-IN"/>
                <w14:ligatures w14:val="none"/>
              </w:rPr>
              <w:t xml:space="preserve">Month </w:t>
            </w:r>
            <w:r w:rsidR="003E07B7">
              <w:rPr>
                <w:rFonts w:ascii="Aptos" w:eastAsia="Times New Roman" w:hAnsi="Aptos" w:cstheme="minorHAnsi"/>
                <w:b/>
                <w:bCs/>
                <w:color w:val="000000"/>
                <w:kern w:val="0"/>
                <w:sz w:val="20"/>
                <w:szCs w:val="20"/>
                <w:lang w:bidi="bn-IN"/>
                <w14:ligatures w14:val="none"/>
              </w:rPr>
              <w:t>3</w:t>
            </w:r>
          </w:p>
        </w:tc>
        <w:tc>
          <w:tcPr>
            <w:tcW w:w="1980" w:type="dxa"/>
            <w:vMerge/>
            <w:shd w:val="clear" w:color="auto" w:fill="F2F2F2" w:themeFill="background1" w:themeFillShade="F2"/>
            <w:vAlign w:val="center"/>
            <w:hideMark/>
          </w:tcPr>
          <w:p w14:paraId="5542F422" w14:textId="45FA916F" w:rsidR="006C02F5" w:rsidRPr="00612CEB" w:rsidRDefault="006C02F5" w:rsidP="00053806">
            <w:pPr>
              <w:spacing w:after="0" w:line="240" w:lineRule="auto"/>
              <w:jc w:val="center"/>
              <w:rPr>
                <w:rFonts w:ascii="Aptos" w:eastAsia="Times New Roman" w:hAnsi="Aptos" w:cstheme="minorHAnsi"/>
                <w:b/>
                <w:bCs/>
                <w:color w:val="000000"/>
                <w:kern w:val="0"/>
                <w:sz w:val="20"/>
                <w:szCs w:val="20"/>
                <w:lang w:bidi="bn-IN"/>
                <w14:ligatures w14:val="none"/>
              </w:rPr>
            </w:pPr>
          </w:p>
        </w:tc>
      </w:tr>
      <w:tr w:rsidR="001A065D" w:rsidRPr="00612CEB" w14:paraId="255051F3" w14:textId="77777777" w:rsidTr="00512D04">
        <w:trPr>
          <w:trHeight w:val="440"/>
        </w:trPr>
        <w:tc>
          <w:tcPr>
            <w:tcW w:w="5040" w:type="dxa"/>
            <w:vAlign w:val="center"/>
            <w:hideMark/>
          </w:tcPr>
          <w:p w14:paraId="04D63783" w14:textId="45D58F85" w:rsidR="001A065D" w:rsidRPr="00612CEB" w:rsidRDefault="009764E8" w:rsidP="00053806">
            <w:pPr>
              <w:spacing w:after="0" w:line="240" w:lineRule="auto"/>
              <w:rPr>
                <w:rFonts w:ascii="Aptos" w:eastAsia="Times New Roman" w:hAnsi="Aptos" w:cstheme="minorHAnsi"/>
                <w:b/>
                <w:bCs/>
                <w:color w:val="000000"/>
                <w:kern w:val="0"/>
                <w:sz w:val="20"/>
                <w:szCs w:val="20"/>
                <w:lang w:bidi="bn-IN"/>
                <w14:ligatures w14:val="none"/>
              </w:rPr>
            </w:pPr>
            <w:r w:rsidRPr="00612CEB">
              <w:rPr>
                <w:rFonts w:ascii="Aptos" w:eastAsia="Times New Roman" w:hAnsi="Aptos" w:cstheme="minorHAnsi"/>
                <w:b/>
                <w:bCs/>
                <w:color w:val="000000"/>
                <w:kern w:val="0"/>
                <w:sz w:val="20"/>
                <w:szCs w:val="20"/>
                <w:lang w:bidi="bn-IN"/>
                <w14:ligatures w14:val="none"/>
              </w:rPr>
              <w:t>Training Completion Report</w:t>
            </w:r>
          </w:p>
        </w:tc>
        <w:tc>
          <w:tcPr>
            <w:tcW w:w="2340" w:type="dxa"/>
            <w:vAlign w:val="center"/>
          </w:tcPr>
          <w:p w14:paraId="27CD84BD" w14:textId="0F02D73C" w:rsidR="001A065D" w:rsidRPr="00612CEB" w:rsidRDefault="001A065D" w:rsidP="00053806">
            <w:pPr>
              <w:spacing w:after="0" w:line="240" w:lineRule="auto"/>
              <w:jc w:val="center"/>
              <w:rPr>
                <w:rFonts w:ascii="Aptos" w:eastAsia="Times New Roman" w:hAnsi="Aptos" w:cstheme="minorHAnsi"/>
                <w:b/>
                <w:bCs/>
                <w:color w:val="000000"/>
                <w:kern w:val="0"/>
                <w:sz w:val="20"/>
                <w:szCs w:val="20"/>
                <w:lang w:bidi="bn-IN"/>
                <w14:ligatures w14:val="none"/>
              </w:rPr>
            </w:pPr>
            <w:r w:rsidRPr="00612CEB">
              <w:rPr>
                <w:rFonts w:ascii="Aptos" w:eastAsia="Times New Roman" w:hAnsi="Aptos" w:cstheme="minorHAnsi"/>
                <w:b/>
                <w:bCs/>
                <w:color w:val="000000"/>
                <w:kern w:val="0"/>
                <w:sz w:val="20"/>
                <w:szCs w:val="20"/>
                <w:lang w:bidi="bn-IN"/>
                <w14:ligatures w14:val="none"/>
              </w:rPr>
              <w:t xml:space="preserve">Month </w:t>
            </w:r>
            <w:r w:rsidR="003E07B7">
              <w:rPr>
                <w:rFonts w:ascii="Aptos" w:eastAsia="Times New Roman" w:hAnsi="Aptos" w:cstheme="minorHAnsi"/>
                <w:b/>
                <w:bCs/>
                <w:color w:val="000000"/>
                <w:kern w:val="0"/>
                <w:sz w:val="20"/>
                <w:szCs w:val="20"/>
                <w:lang w:bidi="bn-IN"/>
                <w14:ligatures w14:val="none"/>
              </w:rPr>
              <w:t>4</w:t>
            </w:r>
          </w:p>
        </w:tc>
        <w:tc>
          <w:tcPr>
            <w:tcW w:w="1980" w:type="dxa"/>
            <w:vAlign w:val="center"/>
            <w:hideMark/>
          </w:tcPr>
          <w:p w14:paraId="3FFE996A" w14:textId="4C74EDFF" w:rsidR="001A065D" w:rsidRPr="00612CEB" w:rsidRDefault="001A065D" w:rsidP="00053806">
            <w:pPr>
              <w:spacing w:after="0" w:line="240" w:lineRule="auto"/>
              <w:jc w:val="center"/>
              <w:rPr>
                <w:rFonts w:ascii="Aptos" w:eastAsia="Times New Roman" w:hAnsi="Aptos" w:cstheme="minorHAnsi"/>
                <w:b/>
                <w:bCs/>
                <w:color w:val="000000"/>
                <w:kern w:val="0"/>
                <w:sz w:val="20"/>
                <w:szCs w:val="20"/>
                <w:lang w:bidi="bn-IN"/>
                <w14:ligatures w14:val="none"/>
              </w:rPr>
            </w:pPr>
            <w:r w:rsidRPr="00612CEB">
              <w:rPr>
                <w:rFonts w:ascii="Aptos" w:eastAsia="Times New Roman" w:hAnsi="Aptos" w:cstheme="minorHAnsi"/>
                <w:b/>
                <w:bCs/>
                <w:color w:val="000000"/>
                <w:kern w:val="0"/>
                <w:sz w:val="20"/>
                <w:szCs w:val="20"/>
                <w:lang w:bidi="bn-IN"/>
                <w14:ligatures w14:val="none"/>
              </w:rPr>
              <w:t>1</w:t>
            </w:r>
            <w:r w:rsidR="006C02F5" w:rsidRPr="00612CEB">
              <w:rPr>
                <w:rFonts w:ascii="Aptos" w:eastAsia="Times New Roman" w:hAnsi="Aptos" w:cstheme="minorHAnsi"/>
                <w:b/>
                <w:bCs/>
                <w:color w:val="000000"/>
                <w:kern w:val="0"/>
                <w:sz w:val="20"/>
                <w:szCs w:val="20"/>
                <w:lang w:bidi="bn-IN"/>
                <w14:ligatures w14:val="none"/>
              </w:rPr>
              <w:t>5</w:t>
            </w:r>
            <w:r w:rsidRPr="00612CEB">
              <w:rPr>
                <w:rFonts w:ascii="Aptos" w:eastAsia="Times New Roman" w:hAnsi="Aptos" w:cstheme="minorHAnsi"/>
                <w:b/>
                <w:bCs/>
                <w:color w:val="000000"/>
                <w:kern w:val="0"/>
                <w:sz w:val="20"/>
                <w:szCs w:val="20"/>
                <w:lang w:bidi="bn-IN"/>
                <w14:ligatures w14:val="none"/>
              </w:rPr>
              <w:t>%</w:t>
            </w:r>
          </w:p>
        </w:tc>
      </w:tr>
      <w:tr w:rsidR="001A065D" w:rsidRPr="00612CEB" w14:paraId="3D3FB3C7" w14:textId="77777777" w:rsidTr="00512D04">
        <w:trPr>
          <w:trHeight w:val="431"/>
        </w:trPr>
        <w:tc>
          <w:tcPr>
            <w:tcW w:w="5040" w:type="dxa"/>
            <w:shd w:val="clear" w:color="auto" w:fill="F2F2F2" w:themeFill="background1" w:themeFillShade="F2"/>
            <w:vAlign w:val="center"/>
          </w:tcPr>
          <w:p w14:paraId="070CCF9F" w14:textId="2FEBDCF8" w:rsidR="001A065D" w:rsidRPr="00612CEB" w:rsidRDefault="009764E8" w:rsidP="00053806">
            <w:pPr>
              <w:spacing w:after="0" w:line="240" w:lineRule="auto"/>
              <w:rPr>
                <w:rFonts w:ascii="Aptos" w:eastAsia="Times New Roman" w:hAnsi="Aptos" w:cstheme="minorHAnsi"/>
                <w:b/>
                <w:bCs/>
                <w:color w:val="000000"/>
                <w:kern w:val="0"/>
                <w:sz w:val="20"/>
                <w:szCs w:val="20"/>
                <w:lang w:bidi="bn-IN"/>
                <w14:ligatures w14:val="none"/>
              </w:rPr>
            </w:pPr>
            <w:r w:rsidRPr="00612CEB">
              <w:rPr>
                <w:rFonts w:ascii="Aptos" w:eastAsia="Times New Roman" w:hAnsi="Aptos" w:cstheme="minorHAnsi"/>
                <w:b/>
                <w:bCs/>
                <w:color w:val="000000"/>
                <w:kern w:val="0"/>
                <w:sz w:val="20"/>
                <w:szCs w:val="20"/>
                <w:lang w:bidi="bn-IN"/>
                <w14:ligatures w14:val="none"/>
              </w:rPr>
              <w:t>Pilot Testing &amp; Refinement Report</w:t>
            </w:r>
          </w:p>
        </w:tc>
        <w:tc>
          <w:tcPr>
            <w:tcW w:w="2340" w:type="dxa"/>
            <w:shd w:val="clear" w:color="auto" w:fill="F2F2F2" w:themeFill="background1" w:themeFillShade="F2"/>
            <w:vAlign w:val="center"/>
          </w:tcPr>
          <w:p w14:paraId="1EF74B5B" w14:textId="76485EAF" w:rsidR="001A065D" w:rsidRPr="00612CEB" w:rsidRDefault="001A065D" w:rsidP="00053806">
            <w:pPr>
              <w:spacing w:after="0" w:line="240" w:lineRule="auto"/>
              <w:jc w:val="center"/>
              <w:rPr>
                <w:rFonts w:ascii="Aptos" w:eastAsia="Times New Roman" w:hAnsi="Aptos" w:cstheme="minorHAnsi"/>
                <w:b/>
                <w:bCs/>
                <w:color w:val="000000"/>
                <w:kern w:val="0"/>
                <w:sz w:val="20"/>
                <w:szCs w:val="20"/>
                <w:lang w:bidi="bn-IN"/>
                <w14:ligatures w14:val="none"/>
              </w:rPr>
            </w:pPr>
            <w:r w:rsidRPr="00612CEB">
              <w:rPr>
                <w:rFonts w:ascii="Aptos" w:eastAsia="Times New Roman" w:hAnsi="Aptos" w:cstheme="minorHAnsi"/>
                <w:b/>
                <w:bCs/>
                <w:color w:val="000000"/>
                <w:kern w:val="0"/>
                <w:sz w:val="20"/>
                <w:szCs w:val="20"/>
                <w:lang w:bidi="bn-IN"/>
                <w14:ligatures w14:val="none"/>
              </w:rPr>
              <w:t xml:space="preserve">Month </w:t>
            </w:r>
            <w:r w:rsidR="003E07B7">
              <w:rPr>
                <w:rFonts w:ascii="Aptos" w:eastAsia="Times New Roman" w:hAnsi="Aptos" w:cstheme="minorHAnsi"/>
                <w:b/>
                <w:bCs/>
                <w:color w:val="000000"/>
                <w:kern w:val="0"/>
                <w:sz w:val="20"/>
                <w:szCs w:val="20"/>
                <w:lang w:bidi="bn-IN"/>
                <w14:ligatures w14:val="none"/>
              </w:rPr>
              <w:t>4</w:t>
            </w:r>
          </w:p>
        </w:tc>
        <w:tc>
          <w:tcPr>
            <w:tcW w:w="1980" w:type="dxa"/>
            <w:shd w:val="clear" w:color="auto" w:fill="F2F2F2" w:themeFill="background1" w:themeFillShade="F2"/>
            <w:vAlign w:val="center"/>
          </w:tcPr>
          <w:p w14:paraId="552666B9" w14:textId="16B2EA6D" w:rsidR="001A065D" w:rsidRPr="00612CEB" w:rsidRDefault="001A065D" w:rsidP="00053806">
            <w:pPr>
              <w:spacing w:after="0" w:line="240" w:lineRule="auto"/>
              <w:jc w:val="center"/>
              <w:rPr>
                <w:rFonts w:ascii="Aptos" w:eastAsia="Times New Roman" w:hAnsi="Aptos" w:cstheme="minorHAnsi"/>
                <w:b/>
                <w:bCs/>
                <w:color w:val="000000"/>
                <w:kern w:val="0"/>
                <w:sz w:val="20"/>
                <w:szCs w:val="20"/>
                <w:lang w:bidi="bn-IN"/>
                <w14:ligatures w14:val="none"/>
              </w:rPr>
            </w:pPr>
            <w:r w:rsidRPr="00612CEB">
              <w:rPr>
                <w:rFonts w:ascii="Aptos" w:eastAsia="Times New Roman" w:hAnsi="Aptos" w:cstheme="minorHAnsi"/>
                <w:b/>
                <w:bCs/>
                <w:color w:val="000000"/>
                <w:kern w:val="0"/>
                <w:sz w:val="20"/>
                <w:szCs w:val="20"/>
                <w:lang w:bidi="bn-IN"/>
                <w14:ligatures w14:val="none"/>
              </w:rPr>
              <w:t>10%</w:t>
            </w:r>
          </w:p>
        </w:tc>
      </w:tr>
      <w:tr w:rsidR="001A065D" w:rsidRPr="00612CEB" w14:paraId="4C48424F" w14:textId="77777777" w:rsidTr="00512D04">
        <w:trPr>
          <w:trHeight w:val="440"/>
        </w:trPr>
        <w:tc>
          <w:tcPr>
            <w:tcW w:w="5040" w:type="dxa"/>
            <w:vAlign w:val="center"/>
            <w:hideMark/>
          </w:tcPr>
          <w:p w14:paraId="156493F9" w14:textId="59C9E5D1" w:rsidR="001A065D" w:rsidRPr="00612CEB" w:rsidRDefault="009764E8" w:rsidP="00053806">
            <w:pPr>
              <w:spacing w:after="0" w:line="240" w:lineRule="auto"/>
              <w:rPr>
                <w:rFonts w:ascii="Aptos" w:eastAsia="Times New Roman" w:hAnsi="Aptos" w:cstheme="minorHAnsi"/>
                <w:b/>
                <w:bCs/>
                <w:color w:val="000000"/>
                <w:kern w:val="0"/>
                <w:sz w:val="20"/>
                <w:szCs w:val="20"/>
                <w:lang w:bidi="bn-IN"/>
                <w14:ligatures w14:val="none"/>
              </w:rPr>
            </w:pPr>
            <w:r w:rsidRPr="00612CEB">
              <w:rPr>
                <w:rFonts w:ascii="Aptos" w:eastAsia="Times New Roman" w:hAnsi="Aptos" w:cstheme="minorHAnsi"/>
                <w:b/>
                <w:bCs/>
                <w:color w:val="000000"/>
                <w:kern w:val="0"/>
                <w:sz w:val="20"/>
                <w:szCs w:val="20"/>
                <w:lang w:bidi="bn-IN"/>
                <w14:ligatures w14:val="none"/>
              </w:rPr>
              <w:t>Final Report &amp; Implementation Plan</w:t>
            </w:r>
          </w:p>
        </w:tc>
        <w:tc>
          <w:tcPr>
            <w:tcW w:w="2340" w:type="dxa"/>
            <w:vAlign w:val="center"/>
          </w:tcPr>
          <w:p w14:paraId="11DA625C" w14:textId="3740BC40" w:rsidR="001A065D" w:rsidRPr="00612CEB" w:rsidRDefault="001A065D" w:rsidP="00053806">
            <w:pPr>
              <w:spacing w:after="0" w:line="240" w:lineRule="auto"/>
              <w:jc w:val="center"/>
              <w:rPr>
                <w:rFonts w:ascii="Aptos" w:eastAsia="Times New Roman" w:hAnsi="Aptos" w:cstheme="minorHAnsi"/>
                <w:b/>
                <w:bCs/>
                <w:color w:val="000000"/>
                <w:kern w:val="0"/>
                <w:sz w:val="20"/>
                <w:szCs w:val="20"/>
                <w:lang w:bidi="bn-IN"/>
                <w14:ligatures w14:val="none"/>
              </w:rPr>
            </w:pPr>
            <w:r w:rsidRPr="00612CEB">
              <w:rPr>
                <w:rFonts w:ascii="Aptos" w:eastAsia="Times New Roman" w:hAnsi="Aptos" w:cstheme="minorHAnsi"/>
                <w:b/>
                <w:bCs/>
                <w:color w:val="000000"/>
                <w:kern w:val="0"/>
                <w:sz w:val="20"/>
                <w:szCs w:val="20"/>
                <w:lang w:bidi="bn-IN"/>
                <w14:ligatures w14:val="none"/>
              </w:rPr>
              <w:t xml:space="preserve">Month </w:t>
            </w:r>
            <w:r w:rsidR="003E07B7">
              <w:rPr>
                <w:rFonts w:ascii="Aptos" w:eastAsia="Times New Roman" w:hAnsi="Aptos" w:cstheme="minorHAnsi"/>
                <w:b/>
                <w:bCs/>
                <w:color w:val="000000"/>
                <w:kern w:val="0"/>
                <w:sz w:val="20"/>
                <w:szCs w:val="20"/>
                <w:lang w:bidi="bn-IN"/>
                <w14:ligatures w14:val="none"/>
              </w:rPr>
              <w:t>5</w:t>
            </w:r>
          </w:p>
        </w:tc>
        <w:tc>
          <w:tcPr>
            <w:tcW w:w="1980" w:type="dxa"/>
            <w:vAlign w:val="center"/>
            <w:hideMark/>
          </w:tcPr>
          <w:p w14:paraId="2309DBF6" w14:textId="3CB9772D" w:rsidR="001A065D" w:rsidRPr="00612CEB" w:rsidRDefault="006C02F5" w:rsidP="00053806">
            <w:pPr>
              <w:spacing w:after="0" w:line="240" w:lineRule="auto"/>
              <w:jc w:val="center"/>
              <w:rPr>
                <w:rFonts w:ascii="Aptos" w:eastAsia="Times New Roman" w:hAnsi="Aptos" w:cstheme="minorHAnsi"/>
                <w:b/>
                <w:bCs/>
                <w:color w:val="000000"/>
                <w:kern w:val="0"/>
                <w:sz w:val="20"/>
                <w:szCs w:val="20"/>
                <w:lang w:bidi="bn-IN"/>
                <w14:ligatures w14:val="none"/>
              </w:rPr>
            </w:pPr>
            <w:r w:rsidRPr="00612CEB">
              <w:rPr>
                <w:rFonts w:ascii="Aptos" w:eastAsia="Times New Roman" w:hAnsi="Aptos" w:cstheme="minorHAnsi"/>
                <w:b/>
                <w:bCs/>
                <w:color w:val="000000"/>
                <w:kern w:val="0"/>
                <w:sz w:val="20"/>
                <w:szCs w:val="20"/>
                <w:lang w:bidi="bn-IN"/>
                <w14:ligatures w14:val="none"/>
              </w:rPr>
              <w:t>2</w:t>
            </w:r>
            <w:r w:rsidR="001A065D" w:rsidRPr="00612CEB">
              <w:rPr>
                <w:rFonts w:ascii="Aptos" w:eastAsia="Times New Roman" w:hAnsi="Aptos" w:cstheme="minorHAnsi"/>
                <w:b/>
                <w:bCs/>
                <w:color w:val="000000"/>
                <w:kern w:val="0"/>
                <w:sz w:val="20"/>
                <w:szCs w:val="20"/>
                <w:lang w:bidi="bn-IN"/>
                <w14:ligatures w14:val="none"/>
              </w:rPr>
              <w:t>0%</w:t>
            </w:r>
          </w:p>
        </w:tc>
      </w:tr>
    </w:tbl>
    <w:p w14:paraId="3CBBE124" w14:textId="77777777" w:rsidR="00D020EC" w:rsidRPr="00D020EC" w:rsidRDefault="00D020EC" w:rsidP="00260049">
      <w:pPr>
        <w:rPr>
          <w:rStyle w:val="IntenseReference"/>
          <w:sz w:val="14"/>
          <w:szCs w:val="14"/>
        </w:rPr>
      </w:pPr>
    </w:p>
    <w:p w14:paraId="3025425D" w14:textId="3BEAE0B9" w:rsidR="00260049" w:rsidRPr="00612CEB" w:rsidRDefault="00475276" w:rsidP="00260049">
      <w:pPr>
        <w:rPr>
          <w:rStyle w:val="IntenseReference"/>
        </w:rPr>
      </w:pPr>
      <w:r w:rsidRPr="00612CEB">
        <w:rPr>
          <w:rStyle w:val="IntenseReference"/>
        </w:rPr>
        <w:t>7</w:t>
      </w:r>
      <w:r w:rsidR="00260049" w:rsidRPr="00612CEB">
        <w:rPr>
          <w:rStyle w:val="IntenseReference"/>
        </w:rPr>
        <w:t>. Duration and</w:t>
      </w:r>
      <w:r w:rsidRPr="00612CEB">
        <w:rPr>
          <w:rStyle w:val="IntenseReference"/>
        </w:rPr>
        <w:t xml:space="preserve"> </w:t>
      </w:r>
      <w:r w:rsidR="00612CEB">
        <w:rPr>
          <w:rStyle w:val="IntenseReference"/>
        </w:rPr>
        <w:t>W</w:t>
      </w:r>
      <w:r w:rsidRPr="00612CEB">
        <w:rPr>
          <w:rStyle w:val="IntenseReference"/>
        </w:rPr>
        <w:t>orking</w:t>
      </w:r>
      <w:r w:rsidR="00260049" w:rsidRPr="00612CEB">
        <w:rPr>
          <w:rStyle w:val="IntenseReference"/>
        </w:rPr>
        <w:t xml:space="preserve"> Modality</w:t>
      </w:r>
    </w:p>
    <w:p w14:paraId="57F6CAC1" w14:textId="7E8215F6" w:rsidR="005F1D77" w:rsidRPr="00612CEB" w:rsidRDefault="00260049" w:rsidP="005F1D77">
      <w:pPr>
        <w:pStyle w:val="ListParagraph"/>
        <w:numPr>
          <w:ilvl w:val="0"/>
          <w:numId w:val="9"/>
        </w:numPr>
        <w:rPr>
          <w:rFonts w:ascii="Aptos" w:hAnsi="Aptos" w:cstheme="minorHAnsi"/>
          <w:sz w:val="22"/>
          <w:szCs w:val="22"/>
        </w:rPr>
      </w:pPr>
      <w:r w:rsidRPr="00612CEB">
        <w:rPr>
          <w:rFonts w:ascii="Aptos" w:hAnsi="Aptos" w:cstheme="minorHAnsi"/>
          <w:sz w:val="22"/>
          <w:szCs w:val="22"/>
        </w:rPr>
        <w:t xml:space="preserve">Duration: </w:t>
      </w:r>
      <w:r w:rsidR="00862791">
        <w:rPr>
          <w:rFonts w:ascii="Aptos" w:hAnsi="Aptos" w:cstheme="minorHAnsi"/>
          <w:sz w:val="22"/>
          <w:szCs w:val="22"/>
        </w:rPr>
        <w:t>5</w:t>
      </w:r>
      <w:r w:rsidRPr="00612CEB">
        <w:rPr>
          <w:rFonts w:ascii="Aptos" w:hAnsi="Aptos" w:cstheme="minorHAnsi"/>
          <w:sz w:val="22"/>
          <w:szCs w:val="22"/>
        </w:rPr>
        <w:t xml:space="preserve"> months</w:t>
      </w:r>
    </w:p>
    <w:p w14:paraId="319BCE59" w14:textId="25392FDD" w:rsidR="006073E3" w:rsidRPr="00612CEB" w:rsidRDefault="006073E3" w:rsidP="006073E3">
      <w:pPr>
        <w:pStyle w:val="ListParagraph"/>
        <w:numPr>
          <w:ilvl w:val="0"/>
          <w:numId w:val="9"/>
        </w:numPr>
        <w:spacing w:after="0" w:line="240" w:lineRule="auto"/>
        <w:rPr>
          <w:rFonts w:ascii="Aptos" w:eastAsia="Times New Roman" w:hAnsi="Aptos" w:cs="Times New Roman"/>
          <w:kern w:val="0"/>
          <w:sz w:val="22"/>
          <w:szCs w:val="22"/>
          <w:lang w:bidi="bn-IN"/>
          <w14:ligatures w14:val="none"/>
        </w:rPr>
      </w:pPr>
      <w:r w:rsidRPr="00612CEB">
        <w:rPr>
          <w:rFonts w:ascii="Aptos" w:eastAsia="Times New Roman" w:hAnsi="Aptos" w:cs="Times New Roman"/>
          <w:kern w:val="0"/>
          <w:sz w:val="22"/>
          <w:szCs w:val="22"/>
          <w:lang w:bidi="bn-IN"/>
          <w14:ligatures w14:val="none"/>
        </w:rPr>
        <w:t xml:space="preserve">Combination of system analysis, consultations, and training </w:t>
      </w:r>
    </w:p>
    <w:p w14:paraId="414809FE" w14:textId="287034AB" w:rsidR="006073E3" w:rsidRPr="00612CEB" w:rsidRDefault="006073E3" w:rsidP="006073E3">
      <w:pPr>
        <w:pStyle w:val="ListParagraph"/>
        <w:numPr>
          <w:ilvl w:val="0"/>
          <w:numId w:val="9"/>
        </w:numPr>
        <w:spacing w:after="0" w:line="240" w:lineRule="auto"/>
        <w:rPr>
          <w:rFonts w:ascii="Aptos" w:eastAsia="Times New Roman" w:hAnsi="Aptos" w:cs="Times New Roman"/>
          <w:kern w:val="0"/>
          <w:sz w:val="22"/>
          <w:szCs w:val="22"/>
          <w:lang w:bidi="bn-IN"/>
          <w14:ligatures w14:val="none"/>
        </w:rPr>
      </w:pPr>
      <w:r w:rsidRPr="00612CEB">
        <w:rPr>
          <w:rFonts w:ascii="Aptos" w:eastAsia="Times New Roman" w:hAnsi="Aptos" w:cs="Times New Roman"/>
          <w:kern w:val="0"/>
          <w:sz w:val="22"/>
          <w:szCs w:val="22"/>
          <w:lang w:bidi="bn-IN"/>
          <w14:ligatures w14:val="none"/>
        </w:rPr>
        <w:t xml:space="preserve">Field engagement required </w:t>
      </w:r>
    </w:p>
    <w:p w14:paraId="1DED0094" w14:textId="77777777" w:rsidR="00575482" w:rsidRPr="00612CEB" w:rsidRDefault="006073E3" w:rsidP="00575482">
      <w:pPr>
        <w:pStyle w:val="ListParagraph"/>
        <w:numPr>
          <w:ilvl w:val="0"/>
          <w:numId w:val="9"/>
        </w:numPr>
        <w:rPr>
          <w:rFonts w:ascii="Aptos" w:hAnsi="Aptos"/>
          <w:b/>
          <w:bCs/>
          <w:smallCaps/>
          <w:spacing w:val="5"/>
          <w:sz w:val="28"/>
          <w:szCs w:val="28"/>
        </w:rPr>
      </w:pPr>
      <w:r w:rsidRPr="00612CEB">
        <w:rPr>
          <w:rFonts w:ascii="Aptos" w:eastAsia="Times New Roman" w:hAnsi="Aptos" w:cs="Times New Roman"/>
          <w:kern w:val="0"/>
          <w:sz w:val="22"/>
          <w:szCs w:val="22"/>
          <w:lang w:bidi="bn-IN"/>
          <w14:ligatures w14:val="none"/>
        </w:rPr>
        <w:t xml:space="preserve">The </w:t>
      </w:r>
      <w:r w:rsidRPr="00612CEB">
        <w:rPr>
          <w:rFonts w:ascii="Aptos" w:eastAsia="Times New Roman" w:hAnsi="Aptos" w:cs="Times New Roman"/>
          <w:b/>
          <w:bCs/>
          <w:kern w:val="0"/>
          <w:sz w:val="22"/>
          <w:szCs w:val="22"/>
          <w:lang w:bidi="bn-IN"/>
          <w14:ligatures w14:val="none"/>
        </w:rPr>
        <w:t>Firm/Joint Venture</w:t>
      </w:r>
      <w:r w:rsidRPr="00612CEB">
        <w:rPr>
          <w:rFonts w:ascii="Aptos" w:eastAsia="Times New Roman" w:hAnsi="Aptos" w:cs="Times New Roman"/>
          <w:kern w:val="0"/>
          <w:sz w:val="22"/>
          <w:szCs w:val="22"/>
          <w:lang w:bidi="bn-IN"/>
          <w14:ligatures w14:val="none"/>
        </w:rPr>
        <w:t xml:space="preserve"> will ensure continuous coordination with Padakhep teams</w:t>
      </w:r>
      <w:r w:rsidR="00575482" w:rsidRPr="00612CEB">
        <w:rPr>
          <w:rFonts w:ascii="Aptos" w:eastAsia="Times New Roman" w:hAnsi="Aptos" w:cs="Times New Roman"/>
          <w:kern w:val="0"/>
          <w:sz w:val="22"/>
          <w:szCs w:val="22"/>
          <w:lang w:bidi="bn-IN"/>
          <w14:ligatures w14:val="none"/>
        </w:rPr>
        <w:t xml:space="preserve"> </w:t>
      </w:r>
    </w:p>
    <w:p w14:paraId="03FFFCE0" w14:textId="4D65C108" w:rsidR="00E90B67" w:rsidRPr="00612CEB" w:rsidRDefault="00E90B67" w:rsidP="00612CEB">
      <w:pPr>
        <w:rPr>
          <w:rStyle w:val="IntenseReference"/>
        </w:rPr>
      </w:pPr>
      <w:r w:rsidRPr="00612CEB">
        <w:rPr>
          <w:rStyle w:val="IntenseReference"/>
        </w:rPr>
        <w:t xml:space="preserve">8. Required Qualifications </w:t>
      </w:r>
    </w:p>
    <w:p w14:paraId="0E94D7F9" w14:textId="77777777" w:rsidR="00E90B67" w:rsidRPr="00612CEB" w:rsidRDefault="00E90B67" w:rsidP="00E90B67">
      <w:pPr>
        <w:pStyle w:val="ListParagraph"/>
        <w:numPr>
          <w:ilvl w:val="0"/>
          <w:numId w:val="28"/>
        </w:numPr>
        <w:rPr>
          <w:rFonts w:ascii="Aptos" w:hAnsi="Aptos"/>
          <w:sz w:val="22"/>
          <w:szCs w:val="22"/>
        </w:rPr>
      </w:pPr>
      <w:r w:rsidRPr="00612CEB">
        <w:rPr>
          <w:rFonts w:ascii="Aptos" w:hAnsi="Aptos"/>
          <w:sz w:val="22"/>
          <w:szCs w:val="22"/>
        </w:rPr>
        <w:t xml:space="preserve">The assignment must be undertaken by a </w:t>
      </w:r>
      <w:r w:rsidRPr="00612CEB">
        <w:rPr>
          <w:rFonts w:ascii="Aptos" w:hAnsi="Aptos"/>
          <w:b/>
          <w:bCs/>
          <w:sz w:val="22"/>
          <w:szCs w:val="22"/>
        </w:rPr>
        <w:t>Firm or Joint Venture</w:t>
      </w:r>
      <w:r w:rsidRPr="00612CEB">
        <w:rPr>
          <w:rFonts w:ascii="Aptos" w:hAnsi="Aptos"/>
          <w:sz w:val="22"/>
          <w:szCs w:val="22"/>
        </w:rPr>
        <w:t xml:space="preserve"> with demonstrated experience in climate finance, MIS systems, and institutional capacity building </w:t>
      </w:r>
    </w:p>
    <w:p w14:paraId="7F2E2094" w14:textId="77777777" w:rsidR="00E90B67" w:rsidRPr="00612CEB" w:rsidRDefault="00E90B67" w:rsidP="00E90B67">
      <w:pPr>
        <w:pStyle w:val="ListParagraph"/>
        <w:numPr>
          <w:ilvl w:val="0"/>
          <w:numId w:val="28"/>
        </w:numPr>
        <w:rPr>
          <w:rFonts w:ascii="Aptos" w:hAnsi="Aptos"/>
          <w:sz w:val="22"/>
          <w:szCs w:val="22"/>
        </w:rPr>
      </w:pPr>
      <w:r w:rsidRPr="00612CEB">
        <w:rPr>
          <w:rFonts w:ascii="Aptos" w:hAnsi="Aptos"/>
          <w:sz w:val="22"/>
          <w:szCs w:val="22"/>
        </w:rPr>
        <w:t xml:space="preserve">Minimum 7 years of relevant experience </w:t>
      </w:r>
    </w:p>
    <w:p w14:paraId="27A4C5A7" w14:textId="77777777" w:rsidR="00E90B67" w:rsidRPr="00612CEB" w:rsidRDefault="00E90B67" w:rsidP="00E90B67">
      <w:pPr>
        <w:pStyle w:val="ListParagraph"/>
        <w:numPr>
          <w:ilvl w:val="0"/>
          <w:numId w:val="28"/>
        </w:numPr>
        <w:rPr>
          <w:rFonts w:ascii="Aptos" w:hAnsi="Aptos"/>
          <w:sz w:val="22"/>
          <w:szCs w:val="22"/>
        </w:rPr>
      </w:pPr>
      <w:r w:rsidRPr="00612CEB">
        <w:rPr>
          <w:rFonts w:ascii="Aptos" w:hAnsi="Aptos"/>
          <w:sz w:val="22"/>
          <w:szCs w:val="22"/>
        </w:rPr>
        <w:t xml:space="preserve">Proven experience in monitoring frameworks and system integration </w:t>
      </w:r>
    </w:p>
    <w:p w14:paraId="773F631E" w14:textId="77777777" w:rsidR="00E90B67" w:rsidRPr="00612CEB" w:rsidRDefault="00E90B67" w:rsidP="00E90B67">
      <w:pPr>
        <w:pStyle w:val="ListParagraph"/>
        <w:numPr>
          <w:ilvl w:val="0"/>
          <w:numId w:val="28"/>
        </w:numPr>
        <w:rPr>
          <w:rFonts w:ascii="Aptos" w:hAnsi="Aptos"/>
          <w:sz w:val="22"/>
          <w:szCs w:val="22"/>
        </w:rPr>
      </w:pPr>
      <w:r w:rsidRPr="00612CEB">
        <w:rPr>
          <w:rFonts w:ascii="Aptos" w:hAnsi="Aptos"/>
          <w:sz w:val="22"/>
          <w:szCs w:val="22"/>
        </w:rPr>
        <w:t xml:space="preserve">Strong training and facilitation capacity </w:t>
      </w:r>
    </w:p>
    <w:p w14:paraId="55CA72BA" w14:textId="77777777" w:rsidR="00E90B67" w:rsidRPr="00612CEB" w:rsidRDefault="00E90B67" w:rsidP="00E90B67">
      <w:pPr>
        <w:ind w:left="360"/>
        <w:rPr>
          <w:rFonts w:ascii="Aptos" w:hAnsi="Aptos"/>
          <w:sz w:val="22"/>
          <w:szCs w:val="22"/>
          <w:u w:val="single"/>
        </w:rPr>
      </w:pPr>
      <w:r w:rsidRPr="00612CEB">
        <w:rPr>
          <w:rFonts w:ascii="Aptos" w:hAnsi="Aptos"/>
          <w:b/>
          <w:bCs/>
          <w:sz w:val="22"/>
          <w:szCs w:val="22"/>
          <w:u w:val="single"/>
        </w:rPr>
        <w:t>For Joint Ventures:</w:t>
      </w:r>
    </w:p>
    <w:p w14:paraId="52A03B16" w14:textId="77777777" w:rsidR="00E90B67" w:rsidRPr="00612CEB" w:rsidRDefault="00E90B67" w:rsidP="00E90B67">
      <w:pPr>
        <w:pStyle w:val="ListParagraph"/>
        <w:numPr>
          <w:ilvl w:val="0"/>
          <w:numId w:val="27"/>
        </w:numPr>
        <w:rPr>
          <w:rFonts w:ascii="Aptos" w:hAnsi="Aptos"/>
          <w:sz w:val="22"/>
          <w:szCs w:val="22"/>
        </w:rPr>
      </w:pPr>
      <w:r w:rsidRPr="00612CEB">
        <w:rPr>
          <w:rFonts w:ascii="Aptos" w:hAnsi="Aptos"/>
          <w:sz w:val="22"/>
          <w:szCs w:val="22"/>
        </w:rPr>
        <w:t xml:space="preserve">A </w:t>
      </w:r>
      <w:r w:rsidRPr="00612CEB">
        <w:rPr>
          <w:rFonts w:ascii="Aptos" w:hAnsi="Aptos"/>
          <w:b/>
          <w:bCs/>
          <w:sz w:val="22"/>
          <w:szCs w:val="22"/>
        </w:rPr>
        <w:t xml:space="preserve">lead firm must be clearly identified </w:t>
      </w:r>
    </w:p>
    <w:p w14:paraId="68079BF3" w14:textId="77777777" w:rsidR="00E90B67" w:rsidRPr="00612CEB" w:rsidRDefault="00E90B67" w:rsidP="00E90B67">
      <w:pPr>
        <w:pStyle w:val="ListParagraph"/>
        <w:numPr>
          <w:ilvl w:val="0"/>
          <w:numId w:val="27"/>
        </w:numPr>
        <w:rPr>
          <w:rFonts w:ascii="Aptos" w:hAnsi="Aptos"/>
          <w:sz w:val="22"/>
          <w:szCs w:val="22"/>
        </w:rPr>
      </w:pPr>
      <w:r w:rsidRPr="00612CEB">
        <w:rPr>
          <w:rFonts w:ascii="Aptos" w:hAnsi="Aptos"/>
          <w:sz w:val="22"/>
          <w:szCs w:val="22"/>
        </w:rPr>
        <w:t xml:space="preserve">Roles and responsibilities of each partner must be defined </w:t>
      </w:r>
    </w:p>
    <w:p w14:paraId="06F694C5" w14:textId="77777777" w:rsidR="00E90B67" w:rsidRPr="00612CEB" w:rsidRDefault="00E90B67" w:rsidP="00E90B67">
      <w:pPr>
        <w:pStyle w:val="ListParagraph"/>
        <w:numPr>
          <w:ilvl w:val="0"/>
          <w:numId w:val="27"/>
        </w:numPr>
        <w:rPr>
          <w:rStyle w:val="IntenseReference"/>
          <w:b w:val="0"/>
          <w:bCs w:val="0"/>
          <w:sz w:val="22"/>
          <w:szCs w:val="22"/>
        </w:rPr>
      </w:pPr>
      <w:r w:rsidRPr="00612CEB">
        <w:rPr>
          <w:rFonts w:ascii="Aptos" w:hAnsi="Aptos"/>
          <w:sz w:val="22"/>
          <w:szCs w:val="22"/>
        </w:rPr>
        <w:t xml:space="preserve">Joint experience in similar assignments will be considered an advantage </w:t>
      </w:r>
    </w:p>
    <w:p w14:paraId="7EF8F867" w14:textId="263DB094" w:rsidR="00260049" w:rsidRPr="00612CEB" w:rsidRDefault="00475276" w:rsidP="00260049">
      <w:pPr>
        <w:rPr>
          <w:rStyle w:val="IntenseReference"/>
        </w:rPr>
      </w:pPr>
      <w:r w:rsidRPr="00612CEB">
        <w:rPr>
          <w:rStyle w:val="IntenseReference"/>
        </w:rPr>
        <w:t>9</w:t>
      </w:r>
      <w:r w:rsidR="00260049" w:rsidRPr="00612CEB">
        <w:rPr>
          <w:rStyle w:val="IntenseReference"/>
        </w:rPr>
        <w:t xml:space="preserve">. Reporting and </w:t>
      </w:r>
      <w:r w:rsidRPr="00612CEB">
        <w:rPr>
          <w:rStyle w:val="IntenseReference"/>
        </w:rPr>
        <w:t>Supervision</w:t>
      </w:r>
    </w:p>
    <w:p w14:paraId="305E7617" w14:textId="59CBA413" w:rsidR="00260049" w:rsidRPr="00612CEB" w:rsidRDefault="00260049" w:rsidP="00775563">
      <w:pPr>
        <w:pStyle w:val="ListParagraph"/>
        <w:numPr>
          <w:ilvl w:val="0"/>
          <w:numId w:val="11"/>
        </w:numPr>
        <w:rPr>
          <w:rFonts w:ascii="Aptos" w:hAnsi="Aptos" w:cstheme="minorHAnsi"/>
          <w:sz w:val="22"/>
          <w:szCs w:val="22"/>
        </w:rPr>
      </w:pPr>
      <w:r w:rsidRPr="00612CEB">
        <w:rPr>
          <w:rFonts w:ascii="Aptos" w:hAnsi="Aptos" w:cstheme="minorHAnsi"/>
          <w:sz w:val="22"/>
          <w:szCs w:val="22"/>
        </w:rPr>
        <w:t>The Firm/</w:t>
      </w:r>
      <w:r w:rsidR="0037161A" w:rsidRPr="00612CEB">
        <w:rPr>
          <w:rFonts w:ascii="Aptos" w:hAnsi="Aptos" w:cstheme="minorHAnsi"/>
          <w:sz w:val="22"/>
          <w:szCs w:val="22"/>
        </w:rPr>
        <w:t>Joint Venture</w:t>
      </w:r>
      <w:r w:rsidRPr="00612CEB">
        <w:rPr>
          <w:rFonts w:ascii="Aptos" w:hAnsi="Aptos" w:cstheme="minorHAnsi"/>
          <w:sz w:val="22"/>
          <w:szCs w:val="22"/>
        </w:rPr>
        <w:t xml:space="preserve"> will report to the designated ICCAP Focal Person at Padakhep</w:t>
      </w:r>
    </w:p>
    <w:p w14:paraId="32E50EC6" w14:textId="77777777" w:rsidR="00260049" w:rsidRPr="00612CEB" w:rsidRDefault="00260049" w:rsidP="00775563">
      <w:pPr>
        <w:pStyle w:val="ListParagraph"/>
        <w:numPr>
          <w:ilvl w:val="0"/>
          <w:numId w:val="11"/>
        </w:numPr>
        <w:rPr>
          <w:rFonts w:ascii="Aptos" w:hAnsi="Aptos" w:cstheme="minorHAnsi"/>
          <w:sz w:val="22"/>
          <w:szCs w:val="22"/>
        </w:rPr>
      </w:pPr>
      <w:r w:rsidRPr="00612CEB">
        <w:rPr>
          <w:rFonts w:ascii="Aptos" w:hAnsi="Aptos" w:cstheme="minorHAnsi"/>
          <w:sz w:val="22"/>
          <w:szCs w:val="22"/>
        </w:rPr>
        <w:t xml:space="preserve">Regular coordination will be required with </w:t>
      </w:r>
      <w:proofErr w:type="spellStart"/>
      <w:r w:rsidRPr="00612CEB">
        <w:rPr>
          <w:rFonts w:ascii="Aptos" w:hAnsi="Aptos" w:cstheme="minorHAnsi"/>
          <w:sz w:val="22"/>
          <w:szCs w:val="22"/>
        </w:rPr>
        <w:t>programme</w:t>
      </w:r>
      <w:proofErr w:type="spellEnd"/>
      <w:r w:rsidRPr="00612CEB">
        <w:rPr>
          <w:rFonts w:ascii="Aptos" w:hAnsi="Aptos" w:cstheme="minorHAnsi"/>
          <w:sz w:val="22"/>
          <w:szCs w:val="22"/>
        </w:rPr>
        <w:t>, HR, and MIS teams</w:t>
      </w:r>
    </w:p>
    <w:p w14:paraId="66A8C69E" w14:textId="7B8A6384" w:rsidR="00F13951" w:rsidRPr="00612CEB" w:rsidRDefault="00260049" w:rsidP="004A2440">
      <w:pPr>
        <w:pStyle w:val="ListParagraph"/>
        <w:numPr>
          <w:ilvl w:val="0"/>
          <w:numId w:val="11"/>
        </w:numPr>
        <w:rPr>
          <w:rFonts w:ascii="Aptos" w:hAnsi="Aptos" w:cstheme="minorHAnsi"/>
          <w:sz w:val="22"/>
          <w:szCs w:val="22"/>
        </w:rPr>
      </w:pPr>
      <w:r w:rsidRPr="00612CEB">
        <w:rPr>
          <w:rFonts w:ascii="Aptos" w:hAnsi="Aptos" w:cstheme="minorHAnsi"/>
          <w:sz w:val="22"/>
          <w:szCs w:val="22"/>
        </w:rPr>
        <w:t>Periodic progress updates and validation meetings will be conducted</w:t>
      </w:r>
    </w:p>
    <w:p w14:paraId="0B8A4674" w14:textId="77777777" w:rsidR="007B6B1A" w:rsidRDefault="007B6B1A">
      <w:pPr>
        <w:rPr>
          <w:rStyle w:val="IntenseReference"/>
          <w:rFonts w:eastAsiaTheme="minorEastAsia"/>
          <w:kern w:val="0"/>
          <w14:ligatures w14:val="none"/>
        </w:rPr>
      </w:pPr>
      <w:r>
        <w:rPr>
          <w:rStyle w:val="IntenseReference"/>
        </w:rPr>
        <w:br w:type="page"/>
      </w:r>
    </w:p>
    <w:p w14:paraId="456B7069" w14:textId="24EBF7B3" w:rsidR="001135D4" w:rsidRPr="00612CEB" w:rsidRDefault="00475276" w:rsidP="001135D4">
      <w:pPr>
        <w:pStyle w:val="NoSpacing"/>
        <w:rPr>
          <w:rFonts w:ascii="Aptos" w:hAnsi="Aptos"/>
          <w:b/>
        </w:rPr>
      </w:pPr>
      <w:r w:rsidRPr="00612CEB">
        <w:rPr>
          <w:rStyle w:val="IntenseReference"/>
        </w:rPr>
        <w:lastRenderedPageBreak/>
        <w:t>10</w:t>
      </w:r>
      <w:r w:rsidR="003A7FB2" w:rsidRPr="00612CEB">
        <w:rPr>
          <w:rStyle w:val="IntenseReference"/>
        </w:rPr>
        <w:t xml:space="preserve">. </w:t>
      </w:r>
      <w:r w:rsidR="001135D4" w:rsidRPr="001E3412">
        <w:rPr>
          <w:rStyle w:val="IntenseReference"/>
        </w:rPr>
        <w:t>C</w:t>
      </w:r>
      <w:r w:rsidR="001E3412">
        <w:rPr>
          <w:rStyle w:val="IntenseReference"/>
        </w:rPr>
        <w:t>onfidentiality &amp; Ethical Conduct</w:t>
      </w:r>
      <w:r w:rsidR="001135D4" w:rsidRPr="00612CEB">
        <w:rPr>
          <w:rFonts w:ascii="Aptos" w:hAnsi="Aptos"/>
          <w:b/>
        </w:rPr>
        <w:t xml:space="preserve"> </w:t>
      </w:r>
    </w:p>
    <w:p w14:paraId="74E6A1B3" w14:textId="77777777" w:rsidR="001135D4" w:rsidRPr="00612CEB" w:rsidRDefault="001135D4" w:rsidP="001135D4">
      <w:pPr>
        <w:pStyle w:val="NoSpacing"/>
        <w:rPr>
          <w:rFonts w:ascii="Aptos" w:hAnsi="Aptos" w:cs="Arial"/>
          <w:b/>
          <w:sz w:val="28"/>
          <w:szCs w:val="28"/>
        </w:rPr>
      </w:pPr>
    </w:p>
    <w:p w14:paraId="45C43EB7" w14:textId="5D1F91E8" w:rsidR="001135D4" w:rsidRPr="00612CEB" w:rsidRDefault="001135D4" w:rsidP="001135D4">
      <w:pPr>
        <w:pStyle w:val="NoSpacing"/>
        <w:rPr>
          <w:rFonts w:ascii="Aptos" w:hAnsi="Aptos" w:cs="Arial"/>
        </w:rPr>
      </w:pPr>
      <w:r w:rsidRPr="00612CEB">
        <w:rPr>
          <w:rFonts w:ascii="Aptos" w:hAnsi="Aptos" w:cs="Arial"/>
        </w:rPr>
        <w:t xml:space="preserve">All information, data, and outputs produced under this assignment shall remain the property of </w:t>
      </w:r>
      <w:proofErr w:type="spellStart"/>
      <w:r w:rsidR="000E2DF2">
        <w:rPr>
          <w:rFonts w:ascii="Aptos" w:hAnsi="Aptos" w:cs="Arial"/>
        </w:rPr>
        <w:t>Padakhep</w:t>
      </w:r>
      <w:proofErr w:type="spellEnd"/>
      <w:r w:rsidR="000E2DF2" w:rsidRPr="00612CEB">
        <w:rPr>
          <w:rFonts w:ascii="Aptos" w:hAnsi="Aptos" w:cs="Arial"/>
        </w:rPr>
        <w:t xml:space="preserve"> </w:t>
      </w:r>
      <w:r w:rsidRPr="00612CEB">
        <w:rPr>
          <w:rFonts w:ascii="Aptos" w:hAnsi="Aptos" w:cs="Arial"/>
        </w:rPr>
        <w:t>and the ICCAP project. The Consultant must adhere to professional integrity and confidentiality standards.</w:t>
      </w:r>
    </w:p>
    <w:p w14:paraId="17E45AED" w14:textId="77777777" w:rsidR="007F1A54" w:rsidRPr="00612CEB" w:rsidRDefault="007F1A54" w:rsidP="007F1A54">
      <w:pPr>
        <w:pStyle w:val="NoSpacing"/>
        <w:ind w:left="720" w:hanging="450"/>
        <w:rPr>
          <w:rFonts w:ascii="Aptos" w:hAnsi="Aptos" w:cs="Arial"/>
        </w:rPr>
      </w:pPr>
    </w:p>
    <w:p w14:paraId="31399FD8" w14:textId="467B7182" w:rsidR="00AC0EF6" w:rsidRPr="001E3412" w:rsidRDefault="00AC0EF6" w:rsidP="0042038B">
      <w:pPr>
        <w:rPr>
          <w:rStyle w:val="IntenseReference"/>
        </w:rPr>
      </w:pPr>
      <w:r w:rsidRPr="001E3412">
        <w:rPr>
          <w:rStyle w:val="IntenseReference"/>
        </w:rPr>
        <w:t>1</w:t>
      </w:r>
      <w:r w:rsidR="00E90B67" w:rsidRPr="001E3412">
        <w:rPr>
          <w:rStyle w:val="IntenseReference"/>
        </w:rPr>
        <w:t>1</w:t>
      </w:r>
      <w:r w:rsidRPr="001E3412">
        <w:rPr>
          <w:rStyle w:val="IntenseReference"/>
        </w:rPr>
        <w:t>. Evaluation Criteria</w:t>
      </w:r>
    </w:p>
    <w:p w14:paraId="5B4DEAAF" w14:textId="77777777" w:rsidR="00AC0EF6" w:rsidRPr="00323C7E" w:rsidRDefault="00AC0EF6" w:rsidP="00AC0EF6">
      <w:pPr>
        <w:rPr>
          <w:rFonts w:ascii="Aptos" w:hAnsi="Aptos"/>
          <w:sz w:val="22"/>
          <w:szCs w:val="22"/>
          <w:u w:val="single"/>
        </w:rPr>
      </w:pPr>
      <w:bookmarkStart w:id="0" w:name="_Toc228129658"/>
      <w:bookmarkStart w:id="1" w:name="_Toc228194267"/>
      <w:r w:rsidRPr="00323C7E">
        <w:rPr>
          <w:rFonts w:ascii="Aptos" w:hAnsi="Aptos" w:cs="Arial"/>
          <w:b/>
          <w:color w:val="000000" w:themeColor="text1"/>
          <w:sz w:val="22"/>
          <w:szCs w:val="22"/>
          <w:u w:val="single"/>
        </w:rPr>
        <w:t>Evaluation Structure</w:t>
      </w:r>
      <w:bookmarkEnd w:id="0"/>
      <w:bookmarkEnd w:id="1"/>
    </w:p>
    <w:tbl>
      <w:tblPr>
        <w:tblStyle w:val="TableGridLight"/>
        <w:tblW w:w="9445" w:type="dxa"/>
        <w:tblLook w:val="04A0" w:firstRow="1" w:lastRow="0" w:firstColumn="1" w:lastColumn="0" w:noHBand="0" w:noVBand="1"/>
      </w:tblPr>
      <w:tblGrid>
        <w:gridCol w:w="3325"/>
        <w:gridCol w:w="1710"/>
        <w:gridCol w:w="4410"/>
      </w:tblGrid>
      <w:tr w:rsidR="00AC0EF6" w:rsidRPr="00323C7E" w14:paraId="12CE3ED7" w14:textId="77777777" w:rsidTr="00706131">
        <w:tc>
          <w:tcPr>
            <w:tcW w:w="3325" w:type="dxa"/>
            <w:shd w:val="clear" w:color="auto" w:fill="002060"/>
          </w:tcPr>
          <w:p w14:paraId="57312A2B" w14:textId="77777777" w:rsidR="00AC0EF6" w:rsidRPr="00323C7E" w:rsidRDefault="00AC0EF6" w:rsidP="004B1188">
            <w:pPr>
              <w:spacing w:line="276" w:lineRule="auto"/>
              <w:jc w:val="center"/>
              <w:rPr>
                <w:rFonts w:ascii="Aptos" w:hAnsi="Aptos"/>
              </w:rPr>
            </w:pPr>
            <w:r w:rsidRPr="00323C7E">
              <w:rPr>
                <w:rFonts w:ascii="Aptos" w:hAnsi="Aptos"/>
                <w:b/>
                <w:bCs/>
              </w:rPr>
              <w:t>Component</w:t>
            </w:r>
          </w:p>
        </w:tc>
        <w:tc>
          <w:tcPr>
            <w:tcW w:w="1710" w:type="dxa"/>
            <w:shd w:val="clear" w:color="auto" w:fill="002060"/>
          </w:tcPr>
          <w:p w14:paraId="142B915C" w14:textId="77777777" w:rsidR="00AC0EF6" w:rsidRPr="00323C7E" w:rsidRDefault="00AC0EF6" w:rsidP="004B1188">
            <w:pPr>
              <w:spacing w:line="276" w:lineRule="auto"/>
              <w:jc w:val="center"/>
              <w:rPr>
                <w:rFonts w:ascii="Aptos" w:hAnsi="Aptos"/>
              </w:rPr>
            </w:pPr>
            <w:r w:rsidRPr="00323C7E">
              <w:rPr>
                <w:rFonts w:ascii="Aptos" w:hAnsi="Aptos"/>
                <w:b/>
                <w:bCs/>
              </w:rPr>
              <w:t>Weight</w:t>
            </w:r>
          </w:p>
        </w:tc>
        <w:tc>
          <w:tcPr>
            <w:tcW w:w="4410" w:type="dxa"/>
            <w:shd w:val="clear" w:color="auto" w:fill="002060"/>
          </w:tcPr>
          <w:p w14:paraId="667432D0" w14:textId="77777777" w:rsidR="00AC0EF6" w:rsidRPr="00323C7E" w:rsidRDefault="00AC0EF6" w:rsidP="004B1188">
            <w:pPr>
              <w:spacing w:line="276" w:lineRule="auto"/>
              <w:jc w:val="center"/>
              <w:rPr>
                <w:rFonts w:ascii="Aptos" w:hAnsi="Aptos"/>
              </w:rPr>
            </w:pPr>
            <w:r w:rsidRPr="00323C7E">
              <w:rPr>
                <w:rFonts w:ascii="Aptos" w:hAnsi="Aptos"/>
                <w:b/>
                <w:bCs/>
              </w:rPr>
              <w:t>Details</w:t>
            </w:r>
          </w:p>
        </w:tc>
      </w:tr>
      <w:tr w:rsidR="00AC0EF6" w:rsidRPr="00323C7E" w14:paraId="0D88C0F4" w14:textId="77777777" w:rsidTr="00323C7E">
        <w:tc>
          <w:tcPr>
            <w:tcW w:w="3325" w:type="dxa"/>
          </w:tcPr>
          <w:p w14:paraId="0D4D7974" w14:textId="77777777" w:rsidR="00AC0EF6" w:rsidRPr="00323C7E" w:rsidRDefault="00AC0EF6" w:rsidP="004B1188">
            <w:pPr>
              <w:spacing w:line="276" w:lineRule="auto"/>
              <w:rPr>
                <w:rFonts w:ascii="Aptos" w:hAnsi="Aptos"/>
              </w:rPr>
            </w:pPr>
            <w:r w:rsidRPr="00323C7E">
              <w:rPr>
                <w:rFonts w:ascii="Aptos" w:hAnsi="Aptos"/>
                <w:b/>
                <w:bCs/>
                <w:color w:val="333333"/>
              </w:rPr>
              <w:t>Stage 1: Technical Evaluation</w:t>
            </w:r>
          </w:p>
        </w:tc>
        <w:tc>
          <w:tcPr>
            <w:tcW w:w="1710" w:type="dxa"/>
          </w:tcPr>
          <w:p w14:paraId="70390538" w14:textId="77777777" w:rsidR="00AC0EF6" w:rsidRPr="00323C7E" w:rsidRDefault="00AC0EF6" w:rsidP="004B1188">
            <w:pPr>
              <w:spacing w:line="276" w:lineRule="auto"/>
              <w:jc w:val="center"/>
              <w:rPr>
                <w:rFonts w:ascii="Aptos" w:hAnsi="Aptos"/>
              </w:rPr>
            </w:pPr>
            <w:r w:rsidRPr="00323C7E">
              <w:rPr>
                <w:rFonts w:ascii="Aptos" w:hAnsi="Aptos"/>
                <w:color w:val="333333"/>
              </w:rPr>
              <w:t>80%</w:t>
            </w:r>
          </w:p>
        </w:tc>
        <w:tc>
          <w:tcPr>
            <w:tcW w:w="4410" w:type="dxa"/>
          </w:tcPr>
          <w:p w14:paraId="568A2A61" w14:textId="77777777" w:rsidR="00AC0EF6" w:rsidRPr="00323C7E" w:rsidRDefault="00AC0EF6" w:rsidP="004B1188">
            <w:pPr>
              <w:spacing w:line="276" w:lineRule="auto"/>
              <w:rPr>
                <w:rFonts w:ascii="Aptos" w:hAnsi="Aptos"/>
              </w:rPr>
            </w:pPr>
            <w:r w:rsidRPr="00323C7E">
              <w:rPr>
                <w:rFonts w:ascii="Aptos" w:hAnsi="Aptos"/>
                <w:color w:val="333333"/>
              </w:rPr>
              <w:t>Technical Proposal (70%) + Interview (10%)</w:t>
            </w:r>
          </w:p>
        </w:tc>
      </w:tr>
      <w:tr w:rsidR="00AC0EF6" w:rsidRPr="00323C7E" w14:paraId="5587154B" w14:textId="77777777" w:rsidTr="00706131">
        <w:tc>
          <w:tcPr>
            <w:tcW w:w="3325" w:type="dxa"/>
            <w:shd w:val="clear" w:color="auto" w:fill="F2F2F2" w:themeFill="background1" w:themeFillShade="F2"/>
          </w:tcPr>
          <w:p w14:paraId="525F11D4" w14:textId="77777777" w:rsidR="00AC0EF6" w:rsidRPr="00323C7E" w:rsidRDefault="00AC0EF6" w:rsidP="004B1188">
            <w:pPr>
              <w:spacing w:line="276" w:lineRule="auto"/>
              <w:rPr>
                <w:rFonts w:ascii="Aptos" w:hAnsi="Aptos"/>
              </w:rPr>
            </w:pPr>
            <w:r w:rsidRPr="00323C7E">
              <w:rPr>
                <w:rFonts w:ascii="Aptos" w:hAnsi="Aptos"/>
                <w:b/>
                <w:bCs/>
                <w:color w:val="333333"/>
              </w:rPr>
              <w:t>Stage 2: Financial Evaluation</w:t>
            </w:r>
          </w:p>
        </w:tc>
        <w:tc>
          <w:tcPr>
            <w:tcW w:w="1710" w:type="dxa"/>
            <w:shd w:val="clear" w:color="auto" w:fill="F2F2F2" w:themeFill="background1" w:themeFillShade="F2"/>
          </w:tcPr>
          <w:p w14:paraId="243BCCE8" w14:textId="77777777" w:rsidR="00AC0EF6" w:rsidRPr="00323C7E" w:rsidRDefault="00AC0EF6" w:rsidP="004B1188">
            <w:pPr>
              <w:spacing w:line="276" w:lineRule="auto"/>
              <w:jc w:val="center"/>
              <w:rPr>
                <w:rFonts w:ascii="Aptos" w:hAnsi="Aptos"/>
              </w:rPr>
            </w:pPr>
            <w:r w:rsidRPr="00323C7E">
              <w:rPr>
                <w:rFonts w:ascii="Aptos" w:hAnsi="Aptos"/>
                <w:color w:val="333333"/>
              </w:rPr>
              <w:t>20%</w:t>
            </w:r>
          </w:p>
        </w:tc>
        <w:tc>
          <w:tcPr>
            <w:tcW w:w="4410" w:type="dxa"/>
            <w:shd w:val="clear" w:color="auto" w:fill="F2F2F2" w:themeFill="background1" w:themeFillShade="F2"/>
          </w:tcPr>
          <w:p w14:paraId="2530A06C" w14:textId="77777777" w:rsidR="00AC0EF6" w:rsidRPr="00323C7E" w:rsidRDefault="00AC0EF6" w:rsidP="004B1188">
            <w:pPr>
              <w:spacing w:line="276" w:lineRule="auto"/>
              <w:rPr>
                <w:rFonts w:ascii="Aptos" w:hAnsi="Aptos"/>
              </w:rPr>
            </w:pPr>
            <w:r w:rsidRPr="00323C7E">
              <w:rPr>
                <w:rFonts w:ascii="Aptos" w:hAnsi="Aptos"/>
                <w:color w:val="333333"/>
              </w:rPr>
              <w:t>Only technically qualified bidders proceed</w:t>
            </w:r>
          </w:p>
        </w:tc>
      </w:tr>
    </w:tbl>
    <w:p w14:paraId="7C74E326" w14:textId="77777777" w:rsidR="007C6F55" w:rsidRDefault="007C6F55" w:rsidP="00AC0EF6">
      <w:pPr>
        <w:spacing w:after="120"/>
        <w:jc w:val="both"/>
        <w:rPr>
          <w:rFonts w:ascii="Aptos" w:hAnsi="Aptos"/>
          <w:color w:val="333333"/>
          <w:sz w:val="22"/>
          <w:szCs w:val="22"/>
        </w:rPr>
      </w:pPr>
    </w:p>
    <w:p w14:paraId="3A48B1B8" w14:textId="6E6D9187" w:rsidR="00AC0EF6" w:rsidRPr="00323C7E" w:rsidRDefault="00AC0EF6" w:rsidP="00AC0EF6">
      <w:pPr>
        <w:spacing w:after="120"/>
        <w:jc w:val="both"/>
        <w:rPr>
          <w:rFonts w:ascii="Aptos" w:hAnsi="Aptos"/>
          <w:sz w:val="22"/>
          <w:szCs w:val="22"/>
        </w:rPr>
      </w:pPr>
      <w:r w:rsidRPr="00323C7E">
        <w:rPr>
          <w:rFonts w:ascii="Aptos" w:hAnsi="Aptos"/>
          <w:color w:val="333333"/>
          <w:sz w:val="22"/>
          <w:szCs w:val="22"/>
        </w:rPr>
        <w:t>The evaluation process follows the Quality and Cost-Based Selection (QCBS) methodology, widely recognized as an international best practice. This two-stage process ensures that technical quality is prioritized while maintaining cost-effectiveness.</w:t>
      </w:r>
    </w:p>
    <w:p w14:paraId="11D6A0A9" w14:textId="77777777" w:rsidR="00AC0EF6" w:rsidRPr="00323C7E" w:rsidRDefault="00AC0EF6" w:rsidP="00AC0EF6">
      <w:pPr>
        <w:rPr>
          <w:rFonts w:ascii="Aptos" w:hAnsi="Aptos" w:cs="Arial"/>
          <w:color w:val="000000" w:themeColor="text1"/>
          <w:sz w:val="22"/>
          <w:szCs w:val="22"/>
          <w:u w:val="single"/>
        </w:rPr>
      </w:pPr>
      <w:bookmarkStart w:id="2" w:name="_Toc228129659"/>
      <w:bookmarkStart w:id="3" w:name="_Toc228194268"/>
      <w:r w:rsidRPr="00323C7E">
        <w:rPr>
          <w:rFonts w:ascii="Aptos" w:hAnsi="Aptos" w:cs="Arial"/>
          <w:b/>
          <w:color w:val="000000" w:themeColor="text1"/>
          <w:sz w:val="22"/>
          <w:szCs w:val="22"/>
          <w:u w:val="single"/>
        </w:rPr>
        <w:t>Technical Scoring Criteria</w:t>
      </w:r>
      <w:bookmarkEnd w:id="2"/>
      <w:bookmarkEnd w:id="3"/>
    </w:p>
    <w:p w14:paraId="71DE2B70" w14:textId="77777777" w:rsidR="00AC0EF6" w:rsidRPr="00323C7E" w:rsidRDefault="00AC0EF6" w:rsidP="00AC0EF6">
      <w:pPr>
        <w:spacing w:after="120"/>
        <w:jc w:val="both"/>
        <w:rPr>
          <w:rFonts w:ascii="Aptos" w:hAnsi="Aptos"/>
          <w:color w:val="333333"/>
          <w:sz w:val="22"/>
          <w:szCs w:val="22"/>
        </w:rPr>
      </w:pPr>
      <w:r w:rsidRPr="00323C7E">
        <w:rPr>
          <w:rFonts w:ascii="Aptos" w:hAnsi="Aptos"/>
          <w:color w:val="333333"/>
          <w:sz w:val="22"/>
          <w:szCs w:val="22"/>
        </w:rPr>
        <w:t>The Technical Proposal Score (TPS) is evaluated out of 100 points based on the following criteria. FSPs may adjust sub-criteria weights within categories based on the specific assignment, subject to ISL and ADA approval:</w:t>
      </w:r>
    </w:p>
    <w:tbl>
      <w:tblPr>
        <w:tblW w:w="9442" w:type="dxa"/>
        <w:tblCellMar>
          <w:left w:w="0" w:type="dxa"/>
          <w:right w:w="0" w:type="dxa"/>
        </w:tblCellMar>
        <w:tblLook w:val="04A0" w:firstRow="1" w:lastRow="0" w:firstColumn="1" w:lastColumn="0" w:noHBand="0" w:noVBand="1"/>
      </w:tblPr>
      <w:tblGrid>
        <w:gridCol w:w="8272"/>
        <w:gridCol w:w="1170"/>
      </w:tblGrid>
      <w:tr w:rsidR="00D020EC" w:rsidRPr="00D020EC" w14:paraId="4DC60127" w14:textId="77777777" w:rsidTr="00D020EC">
        <w:trPr>
          <w:trHeight w:val="300"/>
        </w:trPr>
        <w:tc>
          <w:tcPr>
            <w:tcW w:w="0" w:type="auto"/>
            <w:tcBorders>
              <w:top w:val="single" w:sz="6" w:space="0" w:color="CCCCCC"/>
              <w:left w:val="single" w:sz="6" w:space="0" w:color="CCCCCC"/>
              <w:bottom w:val="single" w:sz="6" w:space="0" w:color="CCCCCC"/>
              <w:right w:val="single" w:sz="6" w:space="0" w:color="CCCCCC"/>
            </w:tcBorders>
            <w:shd w:val="clear" w:color="auto" w:fill="002060"/>
            <w:tcMar>
              <w:top w:w="0" w:type="dxa"/>
              <w:left w:w="45" w:type="dxa"/>
              <w:bottom w:w="0" w:type="dxa"/>
              <w:right w:w="45" w:type="dxa"/>
            </w:tcMar>
            <w:vAlign w:val="center"/>
            <w:hideMark/>
          </w:tcPr>
          <w:p w14:paraId="4EC040F2" w14:textId="77777777" w:rsidR="00D020EC" w:rsidRPr="00D020EC" w:rsidRDefault="00D020EC" w:rsidP="004B1188">
            <w:pPr>
              <w:spacing w:after="60" w:line="276" w:lineRule="auto"/>
              <w:jc w:val="center"/>
              <w:rPr>
                <w:rFonts w:ascii="Aptos" w:hAnsi="Aptos"/>
                <w:b/>
                <w:bCs/>
                <w:sz w:val="22"/>
                <w:szCs w:val="22"/>
              </w:rPr>
            </w:pPr>
            <w:r w:rsidRPr="00D020EC">
              <w:rPr>
                <w:rFonts w:ascii="Aptos" w:hAnsi="Aptos"/>
                <w:b/>
                <w:bCs/>
                <w:sz w:val="22"/>
                <w:szCs w:val="22"/>
              </w:rPr>
              <w:t>Criteria</w:t>
            </w:r>
          </w:p>
        </w:tc>
        <w:tc>
          <w:tcPr>
            <w:tcW w:w="1170" w:type="dxa"/>
            <w:tcBorders>
              <w:top w:val="single" w:sz="6" w:space="0" w:color="CCCCCC"/>
              <w:left w:val="single" w:sz="6" w:space="0" w:color="CCCCCC"/>
              <w:bottom w:val="single" w:sz="6" w:space="0" w:color="CCCCCC"/>
              <w:right w:val="single" w:sz="6" w:space="0" w:color="CCCCCC"/>
            </w:tcBorders>
            <w:shd w:val="clear" w:color="auto" w:fill="002060"/>
            <w:tcMar>
              <w:top w:w="0" w:type="dxa"/>
              <w:left w:w="45" w:type="dxa"/>
              <w:bottom w:w="0" w:type="dxa"/>
              <w:right w:w="45" w:type="dxa"/>
            </w:tcMar>
            <w:vAlign w:val="center"/>
            <w:hideMark/>
          </w:tcPr>
          <w:p w14:paraId="4088738F" w14:textId="77777777" w:rsidR="00D020EC" w:rsidRPr="00D020EC" w:rsidRDefault="00D020EC" w:rsidP="004B1188">
            <w:pPr>
              <w:spacing w:after="60" w:line="276" w:lineRule="auto"/>
              <w:jc w:val="center"/>
              <w:rPr>
                <w:rFonts w:ascii="Aptos" w:hAnsi="Aptos"/>
                <w:b/>
                <w:bCs/>
                <w:sz w:val="22"/>
                <w:szCs w:val="22"/>
              </w:rPr>
            </w:pPr>
            <w:r w:rsidRPr="00D020EC">
              <w:rPr>
                <w:rFonts w:ascii="Aptos" w:hAnsi="Aptos"/>
                <w:b/>
                <w:bCs/>
                <w:sz w:val="22"/>
                <w:szCs w:val="22"/>
              </w:rPr>
              <w:t>Points</w:t>
            </w:r>
          </w:p>
        </w:tc>
      </w:tr>
      <w:tr w:rsidR="00D020EC" w:rsidRPr="00D020EC" w14:paraId="66D650A4" w14:textId="77777777" w:rsidTr="00D020EC">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0270498" w14:textId="77777777" w:rsidR="00D020EC" w:rsidRPr="00D020EC" w:rsidRDefault="00D020EC" w:rsidP="004B1188">
            <w:pPr>
              <w:spacing w:after="60" w:line="276" w:lineRule="auto"/>
              <w:rPr>
                <w:rFonts w:ascii="Aptos" w:hAnsi="Aptos"/>
                <w:sz w:val="22"/>
                <w:szCs w:val="22"/>
              </w:rPr>
            </w:pPr>
            <w:r w:rsidRPr="00D020EC">
              <w:rPr>
                <w:rFonts w:ascii="Aptos" w:hAnsi="Aptos"/>
                <w:sz w:val="22"/>
                <w:szCs w:val="22"/>
              </w:rPr>
              <w:t>Firm/Consultant experience in Climate (adaptation) Reporting framework development</w:t>
            </w:r>
          </w:p>
        </w:tc>
        <w:tc>
          <w:tcPr>
            <w:tcW w:w="11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3E80360" w14:textId="77777777" w:rsidR="00D020EC" w:rsidRPr="00D020EC" w:rsidRDefault="00D020EC" w:rsidP="004B1188">
            <w:pPr>
              <w:spacing w:after="60" w:line="276" w:lineRule="auto"/>
              <w:jc w:val="center"/>
              <w:rPr>
                <w:rFonts w:ascii="Aptos" w:hAnsi="Aptos"/>
                <w:sz w:val="22"/>
                <w:szCs w:val="22"/>
              </w:rPr>
            </w:pPr>
            <w:r w:rsidRPr="00D020EC">
              <w:rPr>
                <w:rFonts w:ascii="Aptos" w:hAnsi="Aptos"/>
                <w:sz w:val="22"/>
                <w:szCs w:val="22"/>
              </w:rPr>
              <w:t>20</w:t>
            </w:r>
          </w:p>
        </w:tc>
      </w:tr>
      <w:tr w:rsidR="00D020EC" w:rsidRPr="00D020EC" w14:paraId="565FFDDC" w14:textId="77777777" w:rsidTr="00D020EC">
        <w:trPr>
          <w:trHeight w:val="300"/>
        </w:trPr>
        <w:tc>
          <w:tcPr>
            <w:tcW w:w="0" w:type="auto"/>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0" w:type="dxa"/>
              <w:left w:w="45" w:type="dxa"/>
              <w:bottom w:w="0" w:type="dxa"/>
              <w:right w:w="45" w:type="dxa"/>
            </w:tcMar>
            <w:vAlign w:val="center"/>
            <w:hideMark/>
          </w:tcPr>
          <w:p w14:paraId="46E08A74" w14:textId="77777777" w:rsidR="00D020EC" w:rsidRPr="00D020EC" w:rsidRDefault="00D020EC" w:rsidP="004B1188">
            <w:pPr>
              <w:spacing w:after="60" w:line="276" w:lineRule="auto"/>
              <w:rPr>
                <w:rFonts w:ascii="Aptos" w:hAnsi="Aptos"/>
                <w:sz w:val="22"/>
                <w:szCs w:val="22"/>
              </w:rPr>
            </w:pPr>
            <w:r w:rsidRPr="00D020EC">
              <w:rPr>
                <w:rFonts w:ascii="Aptos" w:hAnsi="Aptos"/>
                <w:sz w:val="22"/>
                <w:szCs w:val="22"/>
              </w:rPr>
              <w:t>MIS/system integration, and capacity building</w:t>
            </w:r>
          </w:p>
        </w:tc>
        <w:tc>
          <w:tcPr>
            <w:tcW w:w="117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0" w:type="dxa"/>
              <w:left w:w="45" w:type="dxa"/>
              <w:bottom w:w="0" w:type="dxa"/>
              <w:right w:w="45" w:type="dxa"/>
            </w:tcMar>
            <w:vAlign w:val="center"/>
            <w:hideMark/>
          </w:tcPr>
          <w:p w14:paraId="2F2C6D0B" w14:textId="77777777" w:rsidR="00D020EC" w:rsidRPr="00D020EC" w:rsidRDefault="00D020EC" w:rsidP="004B1188">
            <w:pPr>
              <w:spacing w:after="60" w:line="276" w:lineRule="auto"/>
              <w:jc w:val="center"/>
              <w:rPr>
                <w:rFonts w:ascii="Aptos" w:hAnsi="Aptos"/>
                <w:sz w:val="22"/>
                <w:szCs w:val="22"/>
              </w:rPr>
            </w:pPr>
            <w:r w:rsidRPr="00D020EC">
              <w:rPr>
                <w:rFonts w:ascii="Aptos" w:hAnsi="Aptos"/>
                <w:sz w:val="22"/>
                <w:szCs w:val="22"/>
              </w:rPr>
              <w:t>20</w:t>
            </w:r>
          </w:p>
        </w:tc>
      </w:tr>
      <w:tr w:rsidR="00D020EC" w:rsidRPr="00D020EC" w14:paraId="76861EC8" w14:textId="77777777" w:rsidTr="00D020EC">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B9AC9F9" w14:textId="77777777" w:rsidR="00D020EC" w:rsidRPr="00D020EC" w:rsidRDefault="00D020EC" w:rsidP="004B1188">
            <w:pPr>
              <w:spacing w:after="60" w:line="276" w:lineRule="auto"/>
              <w:rPr>
                <w:rFonts w:ascii="Aptos" w:hAnsi="Aptos"/>
                <w:sz w:val="22"/>
                <w:szCs w:val="22"/>
              </w:rPr>
            </w:pPr>
            <w:r w:rsidRPr="00D020EC">
              <w:rPr>
                <w:rFonts w:ascii="Aptos" w:hAnsi="Aptos"/>
                <w:sz w:val="22"/>
                <w:szCs w:val="22"/>
              </w:rPr>
              <w:t>Experience with microfinance/financial institutions</w:t>
            </w:r>
          </w:p>
        </w:tc>
        <w:tc>
          <w:tcPr>
            <w:tcW w:w="11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C432242" w14:textId="77777777" w:rsidR="00D020EC" w:rsidRPr="00D020EC" w:rsidRDefault="00D020EC" w:rsidP="004B1188">
            <w:pPr>
              <w:spacing w:after="60" w:line="276" w:lineRule="auto"/>
              <w:jc w:val="center"/>
              <w:rPr>
                <w:rFonts w:ascii="Aptos" w:hAnsi="Aptos"/>
                <w:sz w:val="22"/>
                <w:szCs w:val="22"/>
              </w:rPr>
            </w:pPr>
            <w:r w:rsidRPr="00D020EC">
              <w:rPr>
                <w:rFonts w:ascii="Aptos" w:hAnsi="Aptos"/>
                <w:sz w:val="22"/>
                <w:szCs w:val="22"/>
              </w:rPr>
              <w:t>10</w:t>
            </w:r>
          </w:p>
        </w:tc>
      </w:tr>
      <w:tr w:rsidR="00D020EC" w:rsidRPr="00D020EC" w14:paraId="0965FD6A" w14:textId="77777777" w:rsidTr="00D020EC">
        <w:trPr>
          <w:trHeight w:val="300"/>
        </w:trPr>
        <w:tc>
          <w:tcPr>
            <w:tcW w:w="0" w:type="auto"/>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0" w:type="dxa"/>
              <w:left w:w="45" w:type="dxa"/>
              <w:bottom w:w="0" w:type="dxa"/>
              <w:right w:w="45" w:type="dxa"/>
            </w:tcMar>
            <w:vAlign w:val="center"/>
            <w:hideMark/>
          </w:tcPr>
          <w:p w14:paraId="1257D293" w14:textId="77777777" w:rsidR="00D020EC" w:rsidRPr="00D020EC" w:rsidRDefault="00D020EC" w:rsidP="004B1188">
            <w:pPr>
              <w:spacing w:after="60" w:line="276" w:lineRule="auto"/>
              <w:rPr>
                <w:rFonts w:ascii="Aptos" w:hAnsi="Aptos"/>
                <w:sz w:val="22"/>
                <w:szCs w:val="22"/>
              </w:rPr>
            </w:pPr>
            <w:r w:rsidRPr="00D020EC">
              <w:rPr>
                <w:rFonts w:ascii="Aptos" w:hAnsi="Aptos"/>
                <w:sz w:val="22"/>
                <w:szCs w:val="22"/>
              </w:rPr>
              <w:t>Approach &amp; methodology</w:t>
            </w:r>
          </w:p>
        </w:tc>
        <w:tc>
          <w:tcPr>
            <w:tcW w:w="117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0" w:type="dxa"/>
              <w:left w:w="45" w:type="dxa"/>
              <w:bottom w:w="0" w:type="dxa"/>
              <w:right w:w="45" w:type="dxa"/>
            </w:tcMar>
            <w:vAlign w:val="center"/>
            <w:hideMark/>
          </w:tcPr>
          <w:p w14:paraId="4E3604E1" w14:textId="77777777" w:rsidR="00D020EC" w:rsidRPr="00D020EC" w:rsidRDefault="00D020EC" w:rsidP="004B1188">
            <w:pPr>
              <w:spacing w:after="60" w:line="276" w:lineRule="auto"/>
              <w:jc w:val="center"/>
              <w:rPr>
                <w:rFonts w:ascii="Aptos" w:hAnsi="Aptos"/>
                <w:sz w:val="22"/>
                <w:szCs w:val="22"/>
              </w:rPr>
            </w:pPr>
            <w:r w:rsidRPr="00D020EC">
              <w:rPr>
                <w:rFonts w:ascii="Aptos" w:hAnsi="Aptos"/>
                <w:sz w:val="22"/>
                <w:szCs w:val="22"/>
              </w:rPr>
              <w:t>20</w:t>
            </w:r>
          </w:p>
        </w:tc>
      </w:tr>
      <w:tr w:rsidR="00D020EC" w:rsidRPr="00D020EC" w14:paraId="5B04D163" w14:textId="77777777" w:rsidTr="00D020EC">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8B77E89" w14:textId="77777777" w:rsidR="00D020EC" w:rsidRPr="00D020EC" w:rsidRDefault="00D020EC" w:rsidP="004B1188">
            <w:pPr>
              <w:spacing w:after="60" w:line="276" w:lineRule="auto"/>
              <w:rPr>
                <w:rFonts w:ascii="Aptos" w:hAnsi="Aptos"/>
                <w:sz w:val="22"/>
                <w:szCs w:val="22"/>
              </w:rPr>
            </w:pPr>
            <w:r w:rsidRPr="00D020EC">
              <w:rPr>
                <w:rFonts w:ascii="Aptos" w:hAnsi="Aptos"/>
                <w:sz w:val="22"/>
                <w:szCs w:val="22"/>
              </w:rPr>
              <w:t>Team composition &amp; expertise</w:t>
            </w:r>
          </w:p>
        </w:tc>
        <w:tc>
          <w:tcPr>
            <w:tcW w:w="11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27E1BFF" w14:textId="77777777" w:rsidR="00D020EC" w:rsidRPr="00D020EC" w:rsidRDefault="00D020EC" w:rsidP="004B1188">
            <w:pPr>
              <w:spacing w:after="60" w:line="276" w:lineRule="auto"/>
              <w:jc w:val="center"/>
              <w:rPr>
                <w:rFonts w:ascii="Aptos" w:hAnsi="Aptos"/>
                <w:sz w:val="22"/>
                <w:szCs w:val="22"/>
              </w:rPr>
            </w:pPr>
            <w:r w:rsidRPr="00D020EC">
              <w:rPr>
                <w:rFonts w:ascii="Aptos" w:hAnsi="Aptos"/>
                <w:sz w:val="22"/>
                <w:szCs w:val="22"/>
              </w:rPr>
              <w:t>20</w:t>
            </w:r>
          </w:p>
        </w:tc>
      </w:tr>
      <w:tr w:rsidR="00D020EC" w:rsidRPr="00D020EC" w14:paraId="696002DC" w14:textId="77777777" w:rsidTr="00D020EC">
        <w:trPr>
          <w:trHeight w:val="300"/>
        </w:trPr>
        <w:tc>
          <w:tcPr>
            <w:tcW w:w="0" w:type="auto"/>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0" w:type="dxa"/>
              <w:left w:w="45" w:type="dxa"/>
              <w:bottom w:w="0" w:type="dxa"/>
              <w:right w:w="45" w:type="dxa"/>
            </w:tcMar>
            <w:vAlign w:val="center"/>
            <w:hideMark/>
          </w:tcPr>
          <w:p w14:paraId="62E1B54E" w14:textId="77777777" w:rsidR="00D020EC" w:rsidRPr="00D020EC" w:rsidRDefault="00D020EC" w:rsidP="004B1188">
            <w:pPr>
              <w:spacing w:after="60" w:line="276" w:lineRule="auto"/>
              <w:rPr>
                <w:rFonts w:ascii="Aptos" w:hAnsi="Aptos"/>
                <w:sz w:val="22"/>
                <w:szCs w:val="22"/>
              </w:rPr>
            </w:pPr>
            <w:r w:rsidRPr="00D020EC">
              <w:rPr>
                <w:rFonts w:ascii="Aptos" w:hAnsi="Aptos"/>
                <w:sz w:val="22"/>
                <w:szCs w:val="22"/>
              </w:rPr>
              <w:t>Experience in data collection procedures</w:t>
            </w:r>
          </w:p>
        </w:tc>
        <w:tc>
          <w:tcPr>
            <w:tcW w:w="117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0" w:type="dxa"/>
              <w:left w:w="45" w:type="dxa"/>
              <w:bottom w:w="0" w:type="dxa"/>
              <w:right w:w="45" w:type="dxa"/>
            </w:tcMar>
            <w:vAlign w:val="center"/>
            <w:hideMark/>
          </w:tcPr>
          <w:p w14:paraId="07F55239" w14:textId="77777777" w:rsidR="00D020EC" w:rsidRPr="00D020EC" w:rsidRDefault="00D020EC" w:rsidP="004B1188">
            <w:pPr>
              <w:spacing w:after="60" w:line="276" w:lineRule="auto"/>
              <w:jc w:val="center"/>
              <w:rPr>
                <w:rFonts w:ascii="Aptos" w:hAnsi="Aptos"/>
                <w:sz w:val="22"/>
                <w:szCs w:val="22"/>
              </w:rPr>
            </w:pPr>
            <w:r w:rsidRPr="00D020EC">
              <w:rPr>
                <w:rFonts w:ascii="Aptos" w:hAnsi="Aptos"/>
                <w:sz w:val="22"/>
                <w:szCs w:val="22"/>
              </w:rPr>
              <w:t>10</w:t>
            </w:r>
          </w:p>
        </w:tc>
      </w:tr>
      <w:tr w:rsidR="00D020EC" w:rsidRPr="00D020EC" w14:paraId="7404DE1E" w14:textId="77777777" w:rsidTr="00D020EC">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35AADEE" w14:textId="77777777" w:rsidR="00D020EC" w:rsidRPr="00D020EC" w:rsidRDefault="00D020EC" w:rsidP="004B1188">
            <w:pPr>
              <w:spacing w:after="60" w:line="276" w:lineRule="auto"/>
              <w:rPr>
                <w:rFonts w:ascii="Aptos" w:hAnsi="Aptos"/>
                <w:b/>
                <w:bCs/>
                <w:sz w:val="22"/>
                <w:szCs w:val="22"/>
              </w:rPr>
            </w:pPr>
            <w:r w:rsidRPr="00D020EC">
              <w:rPr>
                <w:rFonts w:ascii="Aptos" w:hAnsi="Aptos"/>
                <w:b/>
                <w:bCs/>
                <w:sz w:val="22"/>
                <w:szCs w:val="22"/>
              </w:rPr>
              <w:t>Total Technical Score</w:t>
            </w:r>
          </w:p>
        </w:tc>
        <w:tc>
          <w:tcPr>
            <w:tcW w:w="11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8CF4E89" w14:textId="77777777" w:rsidR="00D020EC" w:rsidRPr="00D020EC" w:rsidRDefault="00D020EC" w:rsidP="004B1188">
            <w:pPr>
              <w:spacing w:after="60" w:line="276" w:lineRule="auto"/>
              <w:jc w:val="center"/>
              <w:rPr>
                <w:rFonts w:ascii="Aptos" w:hAnsi="Aptos"/>
                <w:b/>
                <w:bCs/>
                <w:sz w:val="22"/>
                <w:szCs w:val="22"/>
              </w:rPr>
            </w:pPr>
            <w:r w:rsidRPr="00D020EC">
              <w:rPr>
                <w:rFonts w:ascii="Aptos" w:hAnsi="Aptos"/>
                <w:b/>
                <w:bCs/>
                <w:sz w:val="22"/>
                <w:szCs w:val="22"/>
              </w:rPr>
              <w:t>100</w:t>
            </w:r>
          </w:p>
        </w:tc>
      </w:tr>
    </w:tbl>
    <w:p w14:paraId="4C9C8B71" w14:textId="77777777" w:rsidR="00AC0EF6" w:rsidRPr="00671026" w:rsidRDefault="00AC0EF6" w:rsidP="00AC0EF6">
      <w:pPr>
        <w:spacing w:after="60"/>
        <w:rPr>
          <w:rFonts w:ascii="Aptos" w:hAnsi="Apto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45"/>
      </w:tblGrid>
      <w:tr w:rsidR="00AC0EF6" w:rsidRPr="00612CEB" w14:paraId="3A27631E" w14:textId="77777777" w:rsidTr="00703077">
        <w:trPr>
          <w:trHeight w:val="1194"/>
        </w:trPr>
        <w:tc>
          <w:tcPr>
            <w:tcW w:w="9445" w:type="dxa"/>
            <w:shd w:val="clear" w:color="auto" w:fill="F2D6DE"/>
            <w:tcMar>
              <w:top w:w="120" w:type="dxa"/>
              <w:left w:w="200" w:type="dxa"/>
              <w:bottom w:w="120" w:type="dxa"/>
              <w:right w:w="200" w:type="dxa"/>
            </w:tcMar>
          </w:tcPr>
          <w:p w14:paraId="2C9E5AEC" w14:textId="77777777" w:rsidR="00AC0EF6" w:rsidRPr="00612CEB" w:rsidRDefault="00AC0EF6" w:rsidP="00A76E5F">
            <w:pPr>
              <w:spacing w:after="60"/>
              <w:rPr>
                <w:rFonts w:ascii="Aptos" w:hAnsi="Aptos"/>
              </w:rPr>
            </w:pPr>
            <w:r w:rsidRPr="00612CEB">
              <w:rPr>
                <w:rFonts w:ascii="Aptos" w:hAnsi="Aptos"/>
                <w:b/>
                <w:bCs/>
                <w:color w:val="AA0F37"/>
              </w:rPr>
              <w:t>Minimum Qualifying Score:</w:t>
            </w:r>
          </w:p>
          <w:p w14:paraId="5212E6A7" w14:textId="77777777" w:rsidR="00AC0EF6" w:rsidRPr="00612CEB" w:rsidRDefault="00AC0EF6" w:rsidP="00A76E5F">
            <w:pPr>
              <w:rPr>
                <w:rFonts w:ascii="Aptos" w:hAnsi="Aptos"/>
              </w:rPr>
            </w:pPr>
            <w:r w:rsidRPr="00612CEB">
              <w:rPr>
                <w:rFonts w:ascii="Aptos" w:hAnsi="Aptos"/>
                <w:color w:val="333333"/>
                <w:sz w:val="20"/>
                <w:szCs w:val="20"/>
              </w:rPr>
              <w:t xml:space="preserve">Bidders must achieve a minimum Technical Score of </w:t>
            </w:r>
            <w:r w:rsidRPr="009700FC">
              <w:rPr>
                <w:rFonts w:ascii="Aptos" w:hAnsi="Aptos"/>
                <w:b/>
                <w:bCs/>
                <w:color w:val="333333"/>
                <w:sz w:val="20"/>
                <w:szCs w:val="20"/>
              </w:rPr>
              <w:t>70 out of 100</w:t>
            </w:r>
            <w:r w:rsidRPr="00612CEB">
              <w:rPr>
                <w:rFonts w:ascii="Aptos" w:hAnsi="Aptos"/>
                <w:color w:val="333333"/>
                <w:sz w:val="20"/>
                <w:szCs w:val="20"/>
              </w:rPr>
              <w:t xml:space="preserve"> to proceed to Interview and financial evaluation. This threshold is aligned with international standard procurement practices.</w:t>
            </w:r>
          </w:p>
        </w:tc>
      </w:tr>
    </w:tbl>
    <w:p w14:paraId="1412568F" w14:textId="77777777" w:rsidR="00AC0EF6" w:rsidRPr="00CA2DDA" w:rsidRDefault="00AC0EF6" w:rsidP="00AC0EF6">
      <w:pPr>
        <w:spacing w:after="60"/>
        <w:rPr>
          <w:rFonts w:ascii="Aptos" w:hAnsi="Aptos"/>
          <w:sz w:val="8"/>
          <w:szCs w:val="8"/>
        </w:rPr>
      </w:pPr>
    </w:p>
    <w:p w14:paraId="1BE4F6DF" w14:textId="77777777" w:rsidR="00671026" w:rsidRDefault="00671026">
      <w:pPr>
        <w:rPr>
          <w:rFonts w:ascii="Aptos" w:hAnsi="Aptos" w:cs="Arial"/>
          <w:b/>
          <w:color w:val="000000" w:themeColor="text1"/>
          <w:sz w:val="22"/>
          <w:szCs w:val="22"/>
        </w:rPr>
      </w:pPr>
      <w:bookmarkStart w:id="4" w:name="_Toc228129660"/>
      <w:bookmarkStart w:id="5" w:name="_Toc228194269"/>
      <w:bookmarkStart w:id="6" w:name="_Toc228129661"/>
      <w:r>
        <w:rPr>
          <w:rFonts w:ascii="Aptos" w:hAnsi="Aptos" w:cs="Arial"/>
          <w:b/>
          <w:color w:val="000000" w:themeColor="text1"/>
          <w:sz w:val="22"/>
          <w:szCs w:val="22"/>
        </w:rPr>
        <w:br w:type="page"/>
      </w:r>
    </w:p>
    <w:p w14:paraId="1E8F6B91" w14:textId="3E45EEBF" w:rsidR="00AC0EF6" w:rsidRPr="00323C7E" w:rsidRDefault="00AC0EF6" w:rsidP="00AC0EF6">
      <w:pPr>
        <w:rPr>
          <w:rFonts w:ascii="Aptos" w:hAnsi="Aptos" w:cs="Arial"/>
          <w:color w:val="000000" w:themeColor="text1"/>
          <w:sz w:val="22"/>
          <w:szCs w:val="22"/>
        </w:rPr>
      </w:pPr>
      <w:r w:rsidRPr="00323C7E">
        <w:rPr>
          <w:rFonts w:ascii="Aptos" w:hAnsi="Aptos" w:cs="Arial"/>
          <w:b/>
          <w:color w:val="000000" w:themeColor="text1"/>
          <w:sz w:val="22"/>
          <w:szCs w:val="22"/>
        </w:rPr>
        <w:lastRenderedPageBreak/>
        <w:t>Interview &amp; Presentation Score (IPS) – 10 Points</w:t>
      </w:r>
      <w:bookmarkEnd w:id="4"/>
      <w:bookmarkEnd w:id="5"/>
    </w:p>
    <w:p w14:paraId="7F1E5551" w14:textId="77777777" w:rsidR="00AC0EF6" w:rsidRPr="00323C7E" w:rsidRDefault="00AC0EF6" w:rsidP="00CA2DDA">
      <w:pPr>
        <w:pStyle w:val="ListParagraph"/>
        <w:numPr>
          <w:ilvl w:val="0"/>
          <w:numId w:val="36"/>
        </w:numPr>
        <w:spacing w:after="60" w:line="240" w:lineRule="auto"/>
        <w:contextualSpacing w:val="0"/>
        <w:rPr>
          <w:rFonts w:ascii="Aptos" w:hAnsi="Aptos"/>
          <w:sz w:val="22"/>
          <w:szCs w:val="22"/>
        </w:rPr>
      </w:pPr>
      <w:r w:rsidRPr="00323C7E">
        <w:rPr>
          <w:rFonts w:ascii="Aptos" w:hAnsi="Aptos"/>
          <w:color w:val="333333"/>
          <w:sz w:val="22"/>
          <w:szCs w:val="22"/>
        </w:rPr>
        <w:t>Understanding of assignment: 4 points</w:t>
      </w:r>
    </w:p>
    <w:p w14:paraId="49BBF4BE" w14:textId="77777777" w:rsidR="00AC0EF6" w:rsidRPr="00323C7E" w:rsidRDefault="00AC0EF6" w:rsidP="00CA2DDA">
      <w:pPr>
        <w:pStyle w:val="ListParagraph"/>
        <w:numPr>
          <w:ilvl w:val="0"/>
          <w:numId w:val="36"/>
        </w:numPr>
        <w:spacing w:after="60" w:line="240" w:lineRule="auto"/>
        <w:contextualSpacing w:val="0"/>
        <w:rPr>
          <w:rFonts w:ascii="Aptos" w:hAnsi="Aptos"/>
          <w:sz w:val="22"/>
          <w:szCs w:val="22"/>
        </w:rPr>
      </w:pPr>
      <w:r w:rsidRPr="00323C7E">
        <w:rPr>
          <w:rFonts w:ascii="Aptos" w:hAnsi="Aptos"/>
          <w:color w:val="333333"/>
          <w:sz w:val="22"/>
          <w:szCs w:val="22"/>
        </w:rPr>
        <w:t>Practical implementation approach: 3 points</w:t>
      </w:r>
    </w:p>
    <w:p w14:paraId="50B13B55" w14:textId="0877FA52" w:rsidR="00AC0EF6" w:rsidRPr="0052218E" w:rsidRDefault="00AC0EF6" w:rsidP="00AC0EF6">
      <w:pPr>
        <w:pStyle w:val="ListParagraph"/>
        <w:numPr>
          <w:ilvl w:val="0"/>
          <w:numId w:val="36"/>
        </w:numPr>
        <w:spacing w:after="60" w:line="240" w:lineRule="auto"/>
        <w:contextualSpacing w:val="0"/>
        <w:rPr>
          <w:rFonts w:ascii="Aptos" w:hAnsi="Aptos"/>
          <w:sz w:val="22"/>
          <w:szCs w:val="22"/>
        </w:rPr>
      </w:pPr>
      <w:r w:rsidRPr="00323C7E">
        <w:rPr>
          <w:rFonts w:ascii="Aptos" w:hAnsi="Aptos"/>
          <w:color w:val="333333"/>
          <w:sz w:val="22"/>
          <w:szCs w:val="22"/>
        </w:rPr>
        <w:t>Communication and presentation quality: 3 points</w:t>
      </w:r>
    </w:p>
    <w:p w14:paraId="5EE50B19" w14:textId="77777777" w:rsidR="0012397E" w:rsidRPr="0012397E" w:rsidRDefault="0012397E" w:rsidP="00AC0EF6">
      <w:pPr>
        <w:spacing w:after="120"/>
        <w:jc w:val="both"/>
        <w:rPr>
          <w:rFonts w:ascii="Aptos" w:hAnsi="Aptos"/>
          <w:b/>
          <w:bCs/>
          <w:color w:val="333333"/>
          <w:sz w:val="6"/>
          <w:szCs w:val="6"/>
        </w:rPr>
      </w:pPr>
    </w:p>
    <w:p w14:paraId="3A3E19A6" w14:textId="616E48A0" w:rsidR="00AC0EF6" w:rsidRPr="00323C7E" w:rsidRDefault="00AC0EF6" w:rsidP="00AC0EF6">
      <w:pPr>
        <w:spacing w:after="120"/>
        <w:jc w:val="both"/>
        <w:rPr>
          <w:rFonts w:ascii="Aptos" w:hAnsi="Aptos"/>
          <w:sz w:val="22"/>
          <w:szCs w:val="22"/>
        </w:rPr>
      </w:pPr>
      <w:r w:rsidRPr="00323C7E">
        <w:rPr>
          <w:rFonts w:ascii="Aptos" w:hAnsi="Aptos"/>
          <w:b/>
          <w:bCs/>
          <w:color w:val="333333"/>
          <w:sz w:val="22"/>
          <w:szCs w:val="22"/>
        </w:rPr>
        <w:t xml:space="preserve">Total Technical Score (TS) = </w:t>
      </w:r>
      <w:r w:rsidR="000E2DF2">
        <w:rPr>
          <w:rFonts w:ascii="Aptos" w:hAnsi="Aptos"/>
          <w:b/>
          <w:bCs/>
          <w:color w:val="333333"/>
          <w:sz w:val="22"/>
          <w:szCs w:val="22"/>
        </w:rPr>
        <w:t>(</w:t>
      </w:r>
      <w:r w:rsidRPr="00323C7E">
        <w:rPr>
          <w:rFonts w:ascii="Aptos" w:hAnsi="Aptos"/>
          <w:color w:val="333333"/>
          <w:sz w:val="22"/>
          <w:szCs w:val="22"/>
        </w:rPr>
        <w:t>TPS *70</w:t>
      </w:r>
      <w:proofErr w:type="gramStart"/>
      <w:r w:rsidRPr="00323C7E">
        <w:rPr>
          <w:rFonts w:ascii="Aptos" w:hAnsi="Aptos"/>
          <w:color w:val="333333"/>
          <w:sz w:val="22"/>
          <w:szCs w:val="22"/>
        </w:rPr>
        <w:t>%</w:t>
      </w:r>
      <w:r w:rsidR="000E2DF2">
        <w:rPr>
          <w:rFonts w:ascii="Aptos" w:hAnsi="Aptos"/>
          <w:color w:val="333333"/>
          <w:sz w:val="22"/>
          <w:szCs w:val="22"/>
        </w:rPr>
        <w:t>)</w:t>
      </w:r>
      <w:r w:rsidRPr="00323C7E">
        <w:rPr>
          <w:rFonts w:ascii="Aptos" w:hAnsi="Aptos"/>
          <w:color w:val="333333"/>
          <w:sz w:val="22"/>
          <w:szCs w:val="22"/>
        </w:rPr>
        <w:t>+</w:t>
      </w:r>
      <w:proofErr w:type="gramEnd"/>
      <w:r w:rsidRPr="00323C7E">
        <w:rPr>
          <w:rFonts w:ascii="Aptos" w:hAnsi="Aptos"/>
          <w:color w:val="333333"/>
          <w:sz w:val="22"/>
          <w:szCs w:val="22"/>
        </w:rPr>
        <w:t xml:space="preserve"> IPS </w:t>
      </w:r>
    </w:p>
    <w:p w14:paraId="7B6AD31D" w14:textId="77777777" w:rsidR="00AC0EF6" w:rsidRPr="00671026" w:rsidRDefault="00AC0EF6" w:rsidP="00AC0EF6">
      <w:pPr>
        <w:rPr>
          <w:rFonts w:ascii="Aptos" w:hAnsi="Aptos"/>
          <w:sz w:val="22"/>
          <w:szCs w:val="22"/>
          <w:u w:val="single"/>
        </w:rPr>
      </w:pPr>
      <w:bookmarkStart w:id="7" w:name="_Toc228194270"/>
      <w:r w:rsidRPr="00671026">
        <w:rPr>
          <w:rFonts w:ascii="Aptos" w:hAnsi="Aptos" w:cs="Arial"/>
          <w:b/>
          <w:color w:val="000000" w:themeColor="text1"/>
          <w:sz w:val="22"/>
          <w:szCs w:val="22"/>
          <w:u w:val="single"/>
        </w:rPr>
        <w:t xml:space="preserve"> Financial Scoring</w:t>
      </w:r>
      <w:bookmarkEnd w:id="6"/>
      <w:bookmarkEnd w:id="7"/>
    </w:p>
    <w:p w14:paraId="4C31E942" w14:textId="77777777" w:rsidR="00AC0EF6" w:rsidRPr="00323C7E" w:rsidRDefault="00AC0EF6" w:rsidP="00AC0EF6">
      <w:pPr>
        <w:spacing w:after="120"/>
        <w:jc w:val="both"/>
        <w:rPr>
          <w:rFonts w:ascii="Aptos" w:hAnsi="Aptos"/>
          <w:sz w:val="22"/>
          <w:szCs w:val="22"/>
        </w:rPr>
      </w:pPr>
      <w:r w:rsidRPr="00323C7E">
        <w:rPr>
          <w:rFonts w:ascii="Aptos" w:hAnsi="Aptos"/>
          <w:color w:val="333333"/>
          <w:sz w:val="22"/>
          <w:szCs w:val="22"/>
        </w:rPr>
        <w:t>Financial proposals are evaluated only for technically qualified bidders. The Financial Score (FS) is calculated out of 20 points using the following formula:</w:t>
      </w:r>
    </w:p>
    <w:p w14:paraId="31CE6E35" w14:textId="77777777" w:rsidR="00AC0EF6" w:rsidRPr="00323C7E" w:rsidRDefault="00AC0EF6" w:rsidP="00AC0EF6">
      <w:pPr>
        <w:spacing w:after="120"/>
        <w:jc w:val="both"/>
        <w:rPr>
          <w:rFonts w:ascii="Aptos" w:hAnsi="Aptos"/>
          <w:b/>
          <w:bCs/>
          <w:color w:val="333333"/>
          <w:sz w:val="22"/>
          <w:szCs w:val="22"/>
        </w:rPr>
      </w:pPr>
      <w:r w:rsidRPr="00323C7E">
        <w:rPr>
          <w:rFonts w:ascii="Aptos" w:hAnsi="Aptos"/>
          <w:b/>
          <w:bCs/>
          <w:color w:val="333333"/>
          <w:sz w:val="22"/>
          <w:szCs w:val="22"/>
        </w:rPr>
        <w:t>FS = (Lowest Financial Proposal ÷ Bidder’s Financial Proposal) × 20</w:t>
      </w:r>
    </w:p>
    <w:p w14:paraId="5766A9F0" w14:textId="77777777" w:rsidR="00AC0EF6" w:rsidRPr="00671026" w:rsidRDefault="00AC0EF6" w:rsidP="00AC0EF6">
      <w:pPr>
        <w:rPr>
          <w:rFonts w:ascii="Aptos" w:hAnsi="Aptos"/>
          <w:sz w:val="22"/>
          <w:szCs w:val="22"/>
          <w:u w:val="single"/>
        </w:rPr>
      </w:pPr>
      <w:bookmarkStart w:id="8" w:name="_Toc228129662"/>
      <w:bookmarkStart w:id="9" w:name="_Toc228194271"/>
      <w:r w:rsidRPr="00671026">
        <w:rPr>
          <w:rFonts w:ascii="Aptos" w:hAnsi="Aptos" w:cs="Arial"/>
          <w:b/>
          <w:color w:val="000000" w:themeColor="text1"/>
          <w:sz w:val="22"/>
          <w:szCs w:val="22"/>
          <w:u w:val="single"/>
        </w:rPr>
        <w:t>Final Score Calculation</w:t>
      </w:r>
      <w:bookmarkEnd w:id="8"/>
      <w:bookmarkEnd w:id="9"/>
    </w:p>
    <w:p w14:paraId="18924F5B" w14:textId="77777777" w:rsidR="00AC0EF6" w:rsidRPr="00323C7E" w:rsidRDefault="00AC0EF6" w:rsidP="00AC0EF6">
      <w:pPr>
        <w:spacing w:after="120"/>
        <w:jc w:val="both"/>
        <w:rPr>
          <w:rFonts w:ascii="Aptos" w:hAnsi="Aptos"/>
          <w:b/>
          <w:bCs/>
          <w:color w:val="333333"/>
          <w:sz w:val="22"/>
          <w:szCs w:val="22"/>
        </w:rPr>
      </w:pPr>
      <w:r w:rsidRPr="00323C7E">
        <w:rPr>
          <w:rFonts w:ascii="Aptos" w:hAnsi="Aptos"/>
          <w:b/>
          <w:bCs/>
          <w:color w:val="333333"/>
          <w:sz w:val="22"/>
          <w:szCs w:val="22"/>
        </w:rPr>
        <w:t>Final Score = TS + FS (Maximum 100 points)</w:t>
      </w:r>
    </w:p>
    <w:p w14:paraId="3FFB1081" w14:textId="77777777" w:rsidR="00AC0EF6" w:rsidRPr="00323C7E" w:rsidRDefault="00AC0EF6" w:rsidP="00AC0EF6">
      <w:pPr>
        <w:spacing w:after="120"/>
        <w:jc w:val="both"/>
        <w:rPr>
          <w:rFonts w:ascii="Aptos" w:hAnsi="Aptos"/>
          <w:color w:val="333333"/>
          <w:sz w:val="22"/>
          <w:szCs w:val="22"/>
        </w:rPr>
      </w:pPr>
      <w:r w:rsidRPr="00323C7E">
        <w:rPr>
          <w:rFonts w:ascii="Aptos" w:hAnsi="Aptos"/>
          <w:color w:val="333333"/>
          <w:sz w:val="22"/>
          <w:szCs w:val="22"/>
        </w:rPr>
        <w:t>Where TS = Technical Score (out of 80) and FS = Financial Score (out of 20). The bidder with the highest combined score will be recommended for selection, subject to successful negotiation and reference verification.</w:t>
      </w:r>
    </w:p>
    <w:p w14:paraId="0F497FA3" w14:textId="5F6E7BF2" w:rsidR="00475276" w:rsidRPr="001E3412" w:rsidRDefault="00475276" w:rsidP="00475276">
      <w:pPr>
        <w:rPr>
          <w:rStyle w:val="IntenseReference"/>
        </w:rPr>
      </w:pPr>
      <w:r w:rsidRPr="001E3412">
        <w:rPr>
          <w:rStyle w:val="IntenseReference"/>
        </w:rPr>
        <w:t>1</w:t>
      </w:r>
      <w:r w:rsidR="00E90B67" w:rsidRPr="001E3412">
        <w:rPr>
          <w:rStyle w:val="IntenseReference"/>
        </w:rPr>
        <w:t>2</w:t>
      </w:r>
      <w:r w:rsidRPr="001E3412">
        <w:rPr>
          <w:rStyle w:val="IntenseReference"/>
        </w:rPr>
        <w:t>. Proposal Submission Requirements</w:t>
      </w:r>
    </w:p>
    <w:p w14:paraId="11B248B7" w14:textId="77777777" w:rsidR="00475276" w:rsidRPr="00BF204E" w:rsidRDefault="00475276" w:rsidP="00475276">
      <w:pPr>
        <w:spacing w:after="120"/>
        <w:jc w:val="both"/>
        <w:rPr>
          <w:rFonts w:ascii="Aptos" w:hAnsi="Aptos"/>
          <w:sz w:val="22"/>
          <w:szCs w:val="22"/>
        </w:rPr>
      </w:pPr>
      <w:r w:rsidRPr="00BF204E">
        <w:rPr>
          <w:rFonts w:ascii="Aptos" w:hAnsi="Aptos"/>
          <w:color w:val="333333"/>
          <w:sz w:val="22"/>
          <w:szCs w:val="22"/>
        </w:rPr>
        <w:t xml:space="preserve">Interested firms/Joint ventures are requested to submit their Technical and Financial Proposals (in separate sealed envelopes or separate email with attachments) </w:t>
      </w:r>
    </w:p>
    <w:p w14:paraId="29421686" w14:textId="77777777" w:rsidR="00475276" w:rsidRPr="00703077" w:rsidRDefault="00475276" w:rsidP="00475276">
      <w:pPr>
        <w:pStyle w:val="NoSpacing"/>
        <w:rPr>
          <w:rFonts w:ascii="Aptos" w:hAnsi="Aptos" w:cs="Arial"/>
          <w:b/>
          <w:u w:val="single"/>
        </w:rPr>
      </w:pPr>
      <w:r w:rsidRPr="00703077">
        <w:rPr>
          <w:rFonts w:ascii="Aptos" w:hAnsi="Aptos" w:cs="Arial"/>
          <w:b/>
          <w:u w:val="single"/>
        </w:rPr>
        <w:t xml:space="preserve">Technical Proposal </w:t>
      </w:r>
    </w:p>
    <w:p w14:paraId="6766D3A4" w14:textId="468A7B79" w:rsidR="00475276" w:rsidRPr="00612CEB" w:rsidRDefault="00475276" w:rsidP="0012397E">
      <w:pPr>
        <w:pStyle w:val="NoSpacing"/>
        <w:numPr>
          <w:ilvl w:val="0"/>
          <w:numId w:val="40"/>
        </w:numPr>
        <w:spacing w:line="276" w:lineRule="auto"/>
        <w:rPr>
          <w:rFonts w:ascii="Aptos" w:hAnsi="Aptos" w:cs="Arial"/>
        </w:rPr>
      </w:pPr>
      <w:r w:rsidRPr="00612CEB">
        <w:rPr>
          <w:rFonts w:ascii="Aptos" w:hAnsi="Aptos" w:cs="Arial"/>
        </w:rPr>
        <w:t>Detailed understanding of the assignment and proposed approach</w:t>
      </w:r>
    </w:p>
    <w:p w14:paraId="6ED226EC" w14:textId="7271CEB4" w:rsidR="00475276" w:rsidRPr="00612CEB" w:rsidRDefault="00475276" w:rsidP="0012397E">
      <w:pPr>
        <w:pStyle w:val="NoSpacing"/>
        <w:numPr>
          <w:ilvl w:val="0"/>
          <w:numId w:val="40"/>
        </w:numPr>
        <w:spacing w:line="276" w:lineRule="auto"/>
        <w:rPr>
          <w:rFonts w:ascii="Aptos" w:hAnsi="Aptos" w:cs="Arial"/>
        </w:rPr>
      </w:pPr>
      <w:r w:rsidRPr="00612CEB">
        <w:rPr>
          <w:rFonts w:ascii="Aptos" w:hAnsi="Aptos" w:cs="Arial"/>
        </w:rPr>
        <w:t xml:space="preserve">Comprehensive methodology and work plan </w:t>
      </w:r>
    </w:p>
    <w:p w14:paraId="0F2C1E9A" w14:textId="769D5397" w:rsidR="00475276" w:rsidRPr="00BF204E" w:rsidRDefault="00475276" w:rsidP="0012397E">
      <w:pPr>
        <w:pStyle w:val="NoSpacing"/>
        <w:numPr>
          <w:ilvl w:val="0"/>
          <w:numId w:val="40"/>
        </w:numPr>
        <w:spacing w:line="276" w:lineRule="auto"/>
        <w:rPr>
          <w:rFonts w:ascii="Aptos" w:hAnsi="Aptos" w:cs="Arial"/>
        </w:rPr>
      </w:pPr>
      <w:r w:rsidRPr="00BF204E">
        <w:rPr>
          <w:rFonts w:ascii="Aptos" w:hAnsi="Aptos" w:cs="Arial"/>
        </w:rPr>
        <w:t>Team composition, qualifications, and CVs</w:t>
      </w:r>
      <w:r w:rsidR="00E90B67" w:rsidRPr="00BF204E">
        <w:rPr>
          <w:rFonts w:ascii="Aptos" w:hAnsi="Aptos" w:cs="Arial"/>
        </w:rPr>
        <w:t>,</w:t>
      </w:r>
      <w:r w:rsidRPr="00BF204E">
        <w:rPr>
          <w:rFonts w:ascii="Aptos" w:hAnsi="Aptos" w:cs="Arial"/>
        </w:rPr>
        <w:t xml:space="preserve"> whichever is applicable</w:t>
      </w:r>
    </w:p>
    <w:p w14:paraId="2A9EBEF5" w14:textId="7582DB77" w:rsidR="00475276" w:rsidRPr="00BF204E" w:rsidRDefault="00475276" w:rsidP="0012397E">
      <w:pPr>
        <w:pStyle w:val="NoSpacing"/>
        <w:numPr>
          <w:ilvl w:val="0"/>
          <w:numId w:val="40"/>
        </w:numPr>
        <w:spacing w:line="276" w:lineRule="auto"/>
        <w:rPr>
          <w:rFonts w:ascii="Aptos" w:hAnsi="Aptos" w:cs="Arial"/>
        </w:rPr>
      </w:pPr>
      <w:r w:rsidRPr="00BF204E">
        <w:rPr>
          <w:rFonts w:ascii="Aptos" w:hAnsi="Aptos" w:cs="Arial"/>
        </w:rPr>
        <w:t>Evidence of similar assignments completed successfully or PDS</w:t>
      </w:r>
    </w:p>
    <w:p w14:paraId="27107BA5" w14:textId="77777777" w:rsidR="00475276" w:rsidRPr="00BF204E" w:rsidRDefault="00475276" w:rsidP="00475276">
      <w:pPr>
        <w:pStyle w:val="NoSpacing"/>
        <w:rPr>
          <w:rFonts w:ascii="Aptos" w:hAnsi="Aptos" w:cs="Arial"/>
        </w:rPr>
      </w:pPr>
    </w:p>
    <w:p w14:paraId="3E643D16" w14:textId="77777777" w:rsidR="00475276" w:rsidRPr="00703077" w:rsidRDefault="00475276" w:rsidP="00475276">
      <w:pPr>
        <w:pStyle w:val="NoSpacing"/>
        <w:rPr>
          <w:rFonts w:ascii="Aptos" w:hAnsi="Aptos" w:cs="Arial"/>
          <w:b/>
          <w:u w:val="single"/>
        </w:rPr>
      </w:pPr>
      <w:r w:rsidRPr="00703077">
        <w:rPr>
          <w:rFonts w:ascii="Aptos" w:hAnsi="Aptos" w:cs="Arial"/>
          <w:b/>
          <w:u w:val="single"/>
        </w:rPr>
        <w:t>Financial Proposal</w:t>
      </w:r>
    </w:p>
    <w:p w14:paraId="26884E29" w14:textId="191A5117" w:rsidR="00475276" w:rsidRPr="0012397E" w:rsidRDefault="00475276" w:rsidP="0012397E">
      <w:pPr>
        <w:pStyle w:val="ListParagraph"/>
        <w:numPr>
          <w:ilvl w:val="0"/>
          <w:numId w:val="41"/>
        </w:numPr>
        <w:spacing w:after="0" w:line="276" w:lineRule="auto"/>
        <w:rPr>
          <w:rFonts w:ascii="Aptos" w:hAnsi="Aptos"/>
          <w:sz w:val="22"/>
          <w:szCs w:val="22"/>
        </w:rPr>
      </w:pPr>
      <w:r w:rsidRPr="0012397E">
        <w:rPr>
          <w:rFonts w:ascii="Aptos" w:hAnsi="Aptos"/>
          <w:color w:val="333333"/>
          <w:sz w:val="22"/>
          <w:szCs w:val="22"/>
        </w:rPr>
        <w:t>Detailed budget breakdown in local currency, inclusive of all applicable taxes</w:t>
      </w:r>
    </w:p>
    <w:p w14:paraId="562B3437" w14:textId="77777777" w:rsidR="00475276" w:rsidRPr="0012397E" w:rsidRDefault="00475276" w:rsidP="0012397E">
      <w:pPr>
        <w:pStyle w:val="ListParagraph"/>
        <w:numPr>
          <w:ilvl w:val="0"/>
          <w:numId w:val="41"/>
        </w:numPr>
        <w:spacing w:after="0" w:line="276" w:lineRule="auto"/>
        <w:rPr>
          <w:rFonts w:ascii="Aptos" w:hAnsi="Aptos"/>
          <w:sz w:val="22"/>
          <w:szCs w:val="22"/>
        </w:rPr>
      </w:pPr>
      <w:r w:rsidRPr="0012397E">
        <w:rPr>
          <w:rFonts w:ascii="Aptos" w:hAnsi="Aptos"/>
          <w:color w:val="333333"/>
          <w:sz w:val="22"/>
          <w:szCs w:val="22"/>
        </w:rPr>
        <w:t>Fee rates for all proposed personnel</w:t>
      </w:r>
    </w:p>
    <w:p w14:paraId="527EFA18" w14:textId="77777777" w:rsidR="00475276" w:rsidRPr="0012397E" w:rsidRDefault="00475276" w:rsidP="0012397E">
      <w:pPr>
        <w:pStyle w:val="ListParagraph"/>
        <w:numPr>
          <w:ilvl w:val="0"/>
          <w:numId w:val="41"/>
        </w:numPr>
        <w:spacing w:after="0" w:line="276" w:lineRule="auto"/>
        <w:rPr>
          <w:rFonts w:ascii="Aptos" w:hAnsi="Aptos"/>
          <w:sz w:val="22"/>
          <w:szCs w:val="22"/>
        </w:rPr>
      </w:pPr>
      <w:r w:rsidRPr="0012397E">
        <w:rPr>
          <w:rFonts w:ascii="Aptos" w:hAnsi="Aptos"/>
          <w:color w:val="333333"/>
          <w:sz w:val="22"/>
          <w:szCs w:val="22"/>
        </w:rPr>
        <w:t>Reimbursable expenses itemized separately</w:t>
      </w:r>
    </w:p>
    <w:p w14:paraId="6C4D5BEF" w14:textId="77777777" w:rsidR="00475276" w:rsidRPr="00703077" w:rsidRDefault="00475276" w:rsidP="00475276">
      <w:pPr>
        <w:pStyle w:val="Heading1"/>
        <w:rPr>
          <w:rFonts w:ascii="Aptos" w:hAnsi="Aptos" w:cs="Arial"/>
          <w:b/>
          <w:bCs/>
          <w:color w:val="auto"/>
          <w:sz w:val="22"/>
          <w:szCs w:val="22"/>
          <w:u w:val="single"/>
        </w:rPr>
      </w:pPr>
      <w:r w:rsidRPr="00703077">
        <w:rPr>
          <w:rFonts w:ascii="Aptos" w:hAnsi="Aptos" w:cs="Arial"/>
          <w:b/>
          <w:bCs/>
          <w:color w:val="auto"/>
          <w:sz w:val="22"/>
          <w:szCs w:val="22"/>
          <w:u w:val="single"/>
        </w:rPr>
        <w:t>Legal and Organizational Documents</w:t>
      </w:r>
    </w:p>
    <w:p w14:paraId="419F0230" w14:textId="5F332E2D" w:rsidR="00475276" w:rsidRPr="00612CEB" w:rsidRDefault="00475276" w:rsidP="00475276">
      <w:pPr>
        <w:pStyle w:val="NoSpacing"/>
        <w:rPr>
          <w:rFonts w:ascii="Aptos" w:hAnsi="Aptos" w:cs="Arial"/>
        </w:rPr>
      </w:pPr>
      <w:r w:rsidRPr="00612CEB">
        <w:rPr>
          <w:rFonts w:ascii="Aptos" w:hAnsi="Aptos" w:cs="Arial"/>
        </w:rPr>
        <w:t>It is mandatory for the bidding organizations or individual to submit documentary evidence demonstrating their legal, taxation, and financial status.</w:t>
      </w:r>
      <w:r w:rsidR="00A4348C">
        <w:rPr>
          <w:rFonts w:ascii="Aptos" w:hAnsi="Aptos" w:cs="Arial"/>
        </w:rPr>
        <w:t xml:space="preserve"> </w:t>
      </w:r>
      <w:r w:rsidRPr="00612CEB">
        <w:rPr>
          <w:rFonts w:ascii="Aptos" w:hAnsi="Aptos" w:cs="Arial"/>
        </w:rPr>
        <w:t>This includes:</w:t>
      </w:r>
    </w:p>
    <w:p w14:paraId="0C23C97A" w14:textId="00DDDE90" w:rsidR="00475276" w:rsidRPr="00612CEB" w:rsidRDefault="00475276" w:rsidP="0012397E">
      <w:pPr>
        <w:pStyle w:val="NoSpacing"/>
        <w:numPr>
          <w:ilvl w:val="0"/>
          <w:numId w:val="42"/>
        </w:numPr>
        <w:spacing w:line="276" w:lineRule="auto"/>
        <w:rPr>
          <w:rFonts w:ascii="Aptos" w:hAnsi="Aptos" w:cs="Arial"/>
        </w:rPr>
      </w:pPr>
      <w:r w:rsidRPr="00612CEB">
        <w:rPr>
          <w:rFonts w:ascii="Aptos" w:hAnsi="Aptos" w:cs="Arial"/>
        </w:rPr>
        <w:t xml:space="preserve">A certificate of incorporation (for individual companies, a trade license), </w:t>
      </w:r>
      <w:r w:rsidR="00FF53D9" w:rsidRPr="00612CEB">
        <w:rPr>
          <w:rFonts w:ascii="Aptos" w:hAnsi="Aptos" w:cs="Arial"/>
        </w:rPr>
        <w:t>registration-related</w:t>
      </w:r>
      <w:r w:rsidR="00094349">
        <w:rPr>
          <w:rFonts w:ascii="Aptos" w:hAnsi="Aptos" w:cs="Arial"/>
        </w:rPr>
        <w:t xml:space="preserve"> </w:t>
      </w:r>
      <w:r w:rsidRPr="00612CEB">
        <w:rPr>
          <w:rFonts w:ascii="Aptos" w:hAnsi="Aptos" w:cs="Arial"/>
        </w:rPr>
        <w:t>documents (trade license, registration with any gov</w:t>
      </w:r>
      <w:r w:rsidR="00323C7E">
        <w:rPr>
          <w:rFonts w:ascii="Aptos" w:hAnsi="Aptos" w:cs="Arial"/>
        </w:rPr>
        <w:t>t</w:t>
      </w:r>
      <w:r w:rsidRPr="00612CEB">
        <w:rPr>
          <w:rFonts w:ascii="Aptos" w:hAnsi="Aptos" w:cs="Arial"/>
        </w:rPr>
        <w:t xml:space="preserve"> entities/NGO bureau registration).</w:t>
      </w:r>
    </w:p>
    <w:p w14:paraId="53F4FF39" w14:textId="2BB21F81" w:rsidR="00475276" w:rsidRPr="00612CEB" w:rsidRDefault="00475276" w:rsidP="0012397E">
      <w:pPr>
        <w:pStyle w:val="NoSpacing"/>
        <w:numPr>
          <w:ilvl w:val="0"/>
          <w:numId w:val="42"/>
        </w:numPr>
        <w:spacing w:line="276" w:lineRule="auto"/>
        <w:rPr>
          <w:rFonts w:ascii="Aptos" w:hAnsi="Aptos" w:cs="Arial"/>
        </w:rPr>
      </w:pPr>
      <w:r w:rsidRPr="00612CEB">
        <w:rPr>
          <w:rFonts w:ascii="Aptos" w:hAnsi="Aptos" w:cs="Arial"/>
        </w:rPr>
        <w:t>An organizational organogram of key personnel, inclusive of the names of such personnel.</w:t>
      </w:r>
    </w:p>
    <w:p w14:paraId="78F0067E" w14:textId="2AC096B7" w:rsidR="00475276" w:rsidRPr="00612CEB" w:rsidRDefault="00475276" w:rsidP="0012397E">
      <w:pPr>
        <w:pStyle w:val="NoSpacing"/>
        <w:numPr>
          <w:ilvl w:val="0"/>
          <w:numId w:val="42"/>
        </w:numPr>
        <w:spacing w:line="276" w:lineRule="auto"/>
        <w:rPr>
          <w:rFonts w:ascii="Aptos" w:hAnsi="Aptos" w:cs="Arial"/>
        </w:rPr>
      </w:pPr>
      <w:r w:rsidRPr="00612CEB">
        <w:rPr>
          <w:rFonts w:ascii="Aptos" w:hAnsi="Aptos" w:cs="Arial"/>
        </w:rPr>
        <w:t>Tax Identification Number (TIN).</w:t>
      </w:r>
    </w:p>
    <w:p w14:paraId="4718995D" w14:textId="77777777" w:rsidR="0012397E" w:rsidRDefault="00475276" w:rsidP="00A4348C">
      <w:pPr>
        <w:pStyle w:val="NoSpacing"/>
        <w:numPr>
          <w:ilvl w:val="0"/>
          <w:numId w:val="42"/>
        </w:numPr>
        <w:spacing w:line="276" w:lineRule="auto"/>
        <w:rPr>
          <w:rFonts w:ascii="Aptos" w:hAnsi="Aptos" w:cs="Arial"/>
        </w:rPr>
      </w:pPr>
      <w:r w:rsidRPr="00612CEB">
        <w:rPr>
          <w:rFonts w:ascii="Aptos" w:hAnsi="Aptos" w:cs="Arial"/>
        </w:rPr>
        <w:lastRenderedPageBreak/>
        <w:t>Business Identification Number (BIN) is mandatory for Lead firms.</w:t>
      </w:r>
    </w:p>
    <w:p w14:paraId="7F0213C6" w14:textId="77777777" w:rsidR="0012397E" w:rsidRDefault="00475276" w:rsidP="00A4348C">
      <w:pPr>
        <w:pStyle w:val="NoSpacing"/>
        <w:numPr>
          <w:ilvl w:val="0"/>
          <w:numId w:val="42"/>
        </w:numPr>
        <w:spacing w:line="276" w:lineRule="auto"/>
        <w:rPr>
          <w:rFonts w:ascii="Aptos" w:hAnsi="Aptos" w:cs="Arial"/>
        </w:rPr>
      </w:pPr>
      <w:r w:rsidRPr="0012397E">
        <w:rPr>
          <w:rFonts w:ascii="Aptos" w:hAnsi="Aptos" w:cs="Arial"/>
        </w:rPr>
        <w:t xml:space="preserve">Latest PSR (Proof of Submission of the Return). </w:t>
      </w:r>
    </w:p>
    <w:p w14:paraId="635EA56B" w14:textId="77777777" w:rsidR="0012397E" w:rsidRDefault="00475276" w:rsidP="00A4348C">
      <w:pPr>
        <w:pStyle w:val="NoSpacing"/>
        <w:numPr>
          <w:ilvl w:val="0"/>
          <w:numId w:val="42"/>
        </w:numPr>
        <w:spacing w:line="276" w:lineRule="auto"/>
        <w:rPr>
          <w:rFonts w:ascii="Aptos" w:hAnsi="Aptos" w:cs="Arial"/>
        </w:rPr>
      </w:pPr>
      <w:r w:rsidRPr="0012397E">
        <w:rPr>
          <w:rFonts w:ascii="Aptos" w:hAnsi="Aptos" w:cs="Arial"/>
        </w:rPr>
        <w:t>Letter of Association in case of joint venture</w:t>
      </w:r>
    </w:p>
    <w:p w14:paraId="6A0804D4" w14:textId="68D8E1E3" w:rsidR="00475276" w:rsidRPr="0012397E" w:rsidRDefault="00475276" w:rsidP="00A4348C">
      <w:pPr>
        <w:pStyle w:val="NoSpacing"/>
        <w:numPr>
          <w:ilvl w:val="0"/>
          <w:numId w:val="42"/>
        </w:numPr>
        <w:spacing w:line="276" w:lineRule="auto"/>
        <w:rPr>
          <w:rFonts w:ascii="Aptos" w:hAnsi="Aptos" w:cs="Arial"/>
        </w:rPr>
      </w:pPr>
      <w:r w:rsidRPr="0012397E">
        <w:rPr>
          <w:rFonts w:ascii="Aptos" w:hAnsi="Aptos" w:cs="Arial"/>
        </w:rPr>
        <w:t>A signed statement testifying that all information contained within the proposal is correct and true.</w:t>
      </w:r>
    </w:p>
    <w:p w14:paraId="1454FDE5" w14:textId="11DE57E6" w:rsidR="00AC0EF6" w:rsidRPr="00612CEB" w:rsidRDefault="00AC0EF6" w:rsidP="0042038B">
      <w:pPr>
        <w:rPr>
          <w:rFonts w:ascii="Aptos" w:hAnsi="Aptos" w:cstheme="minorHAnsi"/>
          <w:b/>
          <w:bCs/>
          <w:sz w:val="22"/>
          <w:szCs w:val="22"/>
        </w:rPr>
      </w:pPr>
    </w:p>
    <w:p w14:paraId="19DEDB3D" w14:textId="08BE6178" w:rsidR="00AC0EF6" w:rsidRPr="001E3412" w:rsidRDefault="00AC0EF6" w:rsidP="0042038B">
      <w:pPr>
        <w:rPr>
          <w:rStyle w:val="IntenseReference"/>
        </w:rPr>
      </w:pPr>
      <w:r w:rsidRPr="001E3412">
        <w:rPr>
          <w:rStyle w:val="IntenseReference"/>
        </w:rPr>
        <w:t>1</w:t>
      </w:r>
      <w:r w:rsidR="00FF53D9" w:rsidRPr="001E3412">
        <w:rPr>
          <w:rStyle w:val="IntenseReference"/>
        </w:rPr>
        <w:t>3</w:t>
      </w:r>
      <w:r w:rsidRPr="001E3412">
        <w:rPr>
          <w:rStyle w:val="IntenseReference"/>
        </w:rPr>
        <w:t>. Submission Deadline and Method</w:t>
      </w:r>
    </w:p>
    <w:p w14:paraId="23EEE383" w14:textId="74B6E0AE" w:rsidR="00AC0EF6" w:rsidRPr="007729F2" w:rsidRDefault="00AC0EF6" w:rsidP="007729F2">
      <w:pPr>
        <w:pStyle w:val="ListParagraph"/>
        <w:numPr>
          <w:ilvl w:val="0"/>
          <w:numId w:val="44"/>
        </w:numPr>
        <w:spacing w:after="0" w:line="276" w:lineRule="auto"/>
        <w:rPr>
          <w:rFonts w:ascii="Aptos" w:hAnsi="Aptos"/>
          <w:color w:val="000000" w:themeColor="text1"/>
          <w:sz w:val="22"/>
          <w:szCs w:val="22"/>
        </w:rPr>
      </w:pPr>
      <w:r w:rsidRPr="007729F2">
        <w:rPr>
          <w:rFonts w:ascii="Aptos" w:hAnsi="Aptos"/>
          <w:sz w:val="22"/>
          <w:szCs w:val="22"/>
        </w:rPr>
        <w:t xml:space="preserve">Interested </w:t>
      </w:r>
      <w:r w:rsidR="00E90B67" w:rsidRPr="007729F2">
        <w:rPr>
          <w:rFonts w:ascii="Aptos" w:hAnsi="Aptos"/>
          <w:sz w:val="22"/>
          <w:szCs w:val="22"/>
        </w:rPr>
        <w:t>firm</w:t>
      </w:r>
      <w:r w:rsidR="006923A7" w:rsidRPr="007729F2">
        <w:rPr>
          <w:rFonts w:ascii="Aptos" w:hAnsi="Aptos"/>
          <w:sz w:val="22"/>
          <w:szCs w:val="22"/>
        </w:rPr>
        <w:t>/joint venture</w:t>
      </w:r>
      <w:r w:rsidRPr="007729F2">
        <w:rPr>
          <w:rFonts w:ascii="Aptos" w:hAnsi="Aptos"/>
          <w:sz w:val="22"/>
          <w:szCs w:val="22"/>
        </w:rPr>
        <w:t xml:space="preserve"> are requested to submit their Proposals online at the following email</w:t>
      </w:r>
      <w:r w:rsidRPr="007729F2">
        <w:rPr>
          <w:rStyle w:val="c4z29wjxl"/>
          <w:rFonts w:ascii="Aptos" w:hAnsi="Aptos"/>
          <w:sz w:val="22"/>
          <w:szCs w:val="22"/>
        </w:rPr>
        <w:t xml:space="preserve">    </w:t>
      </w:r>
      <w:r w:rsidRPr="007729F2">
        <w:rPr>
          <w:rStyle w:val="c4z29wjxl"/>
          <w:rFonts w:ascii="Aptos" w:hAnsi="Aptos" w:cs="Arial"/>
          <w:sz w:val="22"/>
          <w:szCs w:val="22"/>
        </w:rPr>
        <w:t xml:space="preserve">   </w:t>
      </w:r>
      <w:r w:rsidRPr="007729F2">
        <w:rPr>
          <w:rFonts w:ascii="Aptos" w:hAnsi="Aptos"/>
          <w:sz w:val="22"/>
          <w:szCs w:val="22"/>
        </w:rPr>
        <w:t xml:space="preserve">by Date: </w:t>
      </w:r>
      <w:r w:rsidR="00E72A6A" w:rsidRPr="00E72A6A">
        <w:rPr>
          <w:rFonts w:ascii="Aptos" w:hAnsi="Aptos"/>
          <w:b/>
          <w:bCs/>
          <w:color w:val="EE0000"/>
          <w:sz w:val="22"/>
          <w:szCs w:val="22"/>
        </w:rPr>
        <w:t>20</w:t>
      </w:r>
      <w:r w:rsidRPr="00E72A6A">
        <w:rPr>
          <w:rFonts w:ascii="Aptos" w:hAnsi="Aptos"/>
          <w:b/>
          <w:bCs/>
          <w:color w:val="EE0000"/>
          <w:sz w:val="22"/>
          <w:szCs w:val="22"/>
        </w:rPr>
        <w:t>/</w:t>
      </w:r>
      <w:r w:rsidR="00E72A6A" w:rsidRPr="00E72A6A">
        <w:rPr>
          <w:rFonts w:ascii="Aptos" w:hAnsi="Aptos"/>
          <w:b/>
          <w:bCs/>
          <w:color w:val="EE0000"/>
          <w:sz w:val="22"/>
          <w:szCs w:val="22"/>
        </w:rPr>
        <w:t>06</w:t>
      </w:r>
      <w:r w:rsidRPr="00E72A6A">
        <w:rPr>
          <w:rFonts w:ascii="Aptos" w:hAnsi="Aptos"/>
          <w:b/>
          <w:bCs/>
          <w:color w:val="EE0000"/>
          <w:sz w:val="22"/>
          <w:szCs w:val="22"/>
        </w:rPr>
        <w:t>/2026</w:t>
      </w:r>
      <w:r w:rsidRPr="00E72A6A">
        <w:rPr>
          <w:rFonts w:ascii="Aptos" w:hAnsi="Aptos"/>
          <w:color w:val="EE0000"/>
          <w:sz w:val="22"/>
          <w:szCs w:val="22"/>
        </w:rPr>
        <w:t xml:space="preserve"> </w:t>
      </w:r>
      <w:r w:rsidRPr="007729F2">
        <w:rPr>
          <w:rFonts w:ascii="Aptos" w:hAnsi="Aptos"/>
          <w:sz w:val="22"/>
          <w:szCs w:val="22"/>
        </w:rPr>
        <w:t xml:space="preserve">Time: </w:t>
      </w:r>
      <w:r w:rsidRPr="00E72A6A">
        <w:rPr>
          <w:rFonts w:ascii="Aptos" w:hAnsi="Aptos"/>
          <w:b/>
          <w:bCs/>
          <w:color w:val="EE0000"/>
          <w:sz w:val="22"/>
          <w:szCs w:val="22"/>
        </w:rPr>
        <w:t>11.59 pm</w:t>
      </w:r>
    </w:p>
    <w:p w14:paraId="1E9AD941" w14:textId="77777777" w:rsidR="00AC0EF6" w:rsidRPr="007729F2" w:rsidRDefault="00AC0EF6" w:rsidP="007729F2">
      <w:pPr>
        <w:pStyle w:val="ListParagraph"/>
        <w:numPr>
          <w:ilvl w:val="0"/>
          <w:numId w:val="44"/>
        </w:numPr>
        <w:spacing w:after="0" w:line="276" w:lineRule="auto"/>
        <w:rPr>
          <w:rFonts w:ascii="Aptos" w:hAnsi="Aptos"/>
          <w:color w:val="000000" w:themeColor="text1"/>
          <w:sz w:val="22"/>
          <w:szCs w:val="22"/>
        </w:rPr>
      </w:pPr>
      <w:r w:rsidRPr="007729F2">
        <w:rPr>
          <w:rFonts w:ascii="Aptos" w:hAnsi="Aptos"/>
          <w:color w:val="000000" w:themeColor="text1"/>
          <w:sz w:val="22"/>
          <w:szCs w:val="22"/>
        </w:rPr>
        <w:t>Email Subject line should clearly mention the Assignment Name as stated in the ToR</w:t>
      </w:r>
    </w:p>
    <w:p w14:paraId="358D6316" w14:textId="77777777" w:rsidR="00AC0EF6" w:rsidRPr="007729F2" w:rsidRDefault="00AC0EF6" w:rsidP="007729F2">
      <w:pPr>
        <w:pStyle w:val="ListParagraph"/>
        <w:numPr>
          <w:ilvl w:val="0"/>
          <w:numId w:val="44"/>
        </w:numPr>
        <w:spacing w:after="0" w:line="276" w:lineRule="auto"/>
        <w:rPr>
          <w:rFonts w:ascii="Aptos" w:hAnsi="Aptos"/>
          <w:color w:val="000000" w:themeColor="text1"/>
          <w:sz w:val="22"/>
          <w:szCs w:val="22"/>
        </w:rPr>
      </w:pPr>
      <w:r w:rsidRPr="007729F2">
        <w:rPr>
          <w:rFonts w:ascii="Aptos" w:hAnsi="Aptos"/>
          <w:color w:val="333333"/>
          <w:sz w:val="22"/>
          <w:szCs w:val="22"/>
        </w:rPr>
        <w:t xml:space="preserve">Proposals received after the deadline will not be considered </w:t>
      </w:r>
    </w:p>
    <w:p w14:paraId="768B8D0E" w14:textId="77777777" w:rsidR="007729F2" w:rsidRPr="007729F2" w:rsidRDefault="00AC0EF6" w:rsidP="007729F2">
      <w:pPr>
        <w:pStyle w:val="ListParagraph"/>
        <w:numPr>
          <w:ilvl w:val="0"/>
          <w:numId w:val="44"/>
        </w:numPr>
        <w:spacing w:after="0" w:line="276" w:lineRule="auto"/>
        <w:rPr>
          <w:rStyle w:val="c4z29wjxl"/>
          <w:rFonts w:ascii="Aptos" w:hAnsi="Aptos" w:cstheme="minorHAnsi"/>
          <w:b/>
          <w:bCs/>
          <w:sz w:val="22"/>
          <w:szCs w:val="22"/>
        </w:rPr>
      </w:pPr>
      <w:r w:rsidRPr="007729F2">
        <w:rPr>
          <w:rFonts w:ascii="Aptos" w:hAnsi="Aptos"/>
          <w:color w:val="333333"/>
          <w:sz w:val="22"/>
          <w:szCs w:val="22"/>
        </w:rPr>
        <w:t xml:space="preserve">Contact information for clarification queries: </w:t>
      </w:r>
      <w:r w:rsidRPr="007729F2">
        <w:rPr>
          <w:rStyle w:val="c4z29wjxl"/>
          <w:rFonts w:ascii="Aptos" w:hAnsi="Aptos" w:cs="Arial"/>
          <w:sz w:val="22"/>
          <w:szCs w:val="22"/>
        </w:rPr>
        <w:t xml:space="preserve">   </w:t>
      </w:r>
    </w:p>
    <w:p w14:paraId="3BCE3E6B" w14:textId="77777777" w:rsidR="007729F2" w:rsidRPr="007729F2" w:rsidRDefault="00AC0EF6" w:rsidP="007729F2">
      <w:pPr>
        <w:pStyle w:val="ListParagraph"/>
        <w:numPr>
          <w:ilvl w:val="1"/>
          <w:numId w:val="44"/>
        </w:numPr>
        <w:spacing w:after="0" w:line="276" w:lineRule="auto"/>
        <w:rPr>
          <w:rStyle w:val="c4z29wjxl"/>
          <w:rFonts w:ascii="Aptos" w:hAnsi="Aptos" w:cstheme="minorHAnsi"/>
          <w:b/>
          <w:bCs/>
          <w:sz w:val="22"/>
          <w:szCs w:val="22"/>
        </w:rPr>
      </w:pPr>
      <w:r w:rsidRPr="007729F2">
        <w:rPr>
          <w:rStyle w:val="c4z29wjxl"/>
          <w:rFonts w:ascii="Aptos" w:hAnsi="Aptos" w:cs="Arial"/>
          <w:sz w:val="22"/>
          <w:szCs w:val="22"/>
        </w:rPr>
        <w:t xml:space="preserve">Email:                                 </w:t>
      </w:r>
    </w:p>
    <w:p w14:paraId="26875C57" w14:textId="226C9CF6" w:rsidR="007F1A54" w:rsidRPr="007729F2" w:rsidRDefault="00AC0EF6" w:rsidP="007729F2">
      <w:pPr>
        <w:pStyle w:val="ListParagraph"/>
        <w:numPr>
          <w:ilvl w:val="1"/>
          <w:numId w:val="44"/>
        </w:numPr>
        <w:spacing w:after="0" w:line="276" w:lineRule="auto"/>
        <w:rPr>
          <w:rFonts w:ascii="Aptos" w:hAnsi="Aptos" w:cstheme="minorHAnsi"/>
          <w:b/>
          <w:bCs/>
          <w:sz w:val="22"/>
          <w:szCs w:val="22"/>
        </w:rPr>
      </w:pPr>
      <w:r w:rsidRPr="007729F2">
        <w:rPr>
          <w:rStyle w:val="c4z29wjxl"/>
          <w:rFonts w:ascii="Aptos" w:hAnsi="Aptos" w:cs="Arial"/>
          <w:sz w:val="22"/>
          <w:szCs w:val="22"/>
        </w:rPr>
        <w:t xml:space="preserve">Cell No: </w:t>
      </w:r>
    </w:p>
    <w:p w14:paraId="3752F860" w14:textId="3234DE4C" w:rsidR="00AA4019" w:rsidRPr="00612CEB" w:rsidRDefault="00AA4019" w:rsidP="007729F2">
      <w:pPr>
        <w:spacing w:after="0" w:line="276" w:lineRule="auto"/>
        <w:ind w:firstLine="48"/>
        <w:rPr>
          <w:rFonts w:ascii="Aptos" w:hAnsi="Aptos" w:cstheme="minorHAnsi"/>
          <w:sz w:val="22"/>
          <w:szCs w:val="22"/>
        </w:rPr>
      </w:pPr>
    </w:p>
    <w:sectPr w:rsidR="00AA4019" w:rsidRPr="00612C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A3B5B" w14:textId="77777777" w:rsidR="00E62537" w:rsidRDefault="00E62537" w:rsidP="00D75850">
      <w:pPr>
        <w:spacing w:after="0" w:line="240" w:lineRule="auto"/>
      </w:pPr>
      <w:r>
        <w:separator/>
      </w:r>
    </w:p>
  </w:endnote>
  <w:endnote w:type="continuationSeparator" w:id="0">
    <w:p w14:paraId="4656B3AA" w14:textId="77777777" w:rsidR="00E62537" w:rsidRDefault="00E62537" w:rsidP="00D75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aloo Da 2">
    <w:altName w:val="Shonar Bangla"/>
    <w:panose1 w:val="00000000000000000000"/>
    <w:charset w:val="00"/>
    <w:family w:val="auto"/>
    <w:pitch w:val="variable"/>
    <w:sig w:usb0="A001007F" w:usb1="4000207B" w:usb2="00000000" w:usb3="00000000" w:csb0="00000193"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FBDC5" w14:textId="77777777" w:rsidR="00E62537" w:rsidRDefault="00E62537" w:rsidP="00D75850">
      <w:pPr>
        <w:spacing w:after="0" w:line="240" w:lineRule="auto"/>
      </w:pPr>
      <w:r>
        <w:separator/>
      </w:r>
    </w:p>
  </w:footnote>
  <w:footnote w:type="continuationSeparator" w:id="0">
    <w:p w14:paraId="2B925F29" w14:textId="77777777" w:rsidR="00E62537" w:rsidRDefault="00E62537" w:rsidP="00D758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642"/>
    <w:multiLevelType w:val="multilevel"/>
    <w:tmpl w:val="0B60C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558E8"/>
    <w:multiLevelType w:val="multilevel"/>
    <w:tmpl w:val="1B2E2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07F4A"/>
    <w:multiLevelType w:val="hybridMultilevel"/>
    <w:tmpl w:val="2D6833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D20AC"/>
    <w:multiLevelType w:val="hybridMultilevel"/>
    <w:tmpl w:val="27A2D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97641"/>
    <w:multiLevelType w:val="multilevel"/>
    <w:tmpl w:val="DB3A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06D63"/>
    <w:multiLevelType w:val="hybridMultilevel"/>
    <w:tmpl w:val="76DA11D2"/>
    <w:lvl w:ilvl="0" w:tplc="F9748028">
      <w:start w:val="1"/>
      <w:numFmt w:val="bullet"/>
      <w:lvlText w:val="•"/>
      <w:lvlJc w:val="left"/>
      <w:pPr>
        <w:ind w:left="720" w:hanging="360"/>
      </w:pPr>
    </w:lvl>
    <w:lvl w:ilvl="1" w:tplc="1646EB2E">
      <w:numFmt w:val="decimal"/>
      <w:lvlText w:val=""/>
      <w:lvlJc w:val="left"/>
    </w:lvl>
    <w:lvl w:ilvl="2" w:tplc="DF92801C">
      <w:numFmt w:val="decimal"/>
      <w:lvlText w:val=""/>
      <w:lvlJc w:val="left"/>
    </w:lvl>
    <w:lvl w:ilvl="3" w:tplc="59D4A5DC">
      <w:numFmt w:val="decimal"/>
      <w:lvlText w:val=""/>
      <w:lvlJc w:val="left"/>
    </w:lvl>
    <w:lvl w:ilvl="4" w:tplc="992811E2">
      <w:numFmt w:val="decimal"/>
      <w:lvlText w:val=""/>
      <w:lvlJc w:val="left"/>
    </w:lvl>
    <w:lvl w:ilvl="5" w:tplc="67C46912">
      <w:numFmt w:val="decimal"/>
      <w:lvlText w:val=""/>
      <w:lvlJc w:val="left"/>
    </w:lvl>
    <w:lvl w:ilvl="6" w:tplc="337A2ED0">
      <w:numFmt w:val="decimal"/>
      <w:lvlText w:val=""/>
      <w:lvlJc w:val="left"/>
    </w:lvl>
    <w:lvl w:ilvl="7" w:tplc="25F6D850">
      <w:numFmt w:val="decimal"/>
      <w:lvlText w:val=""/>
      <w:lvlJc w:val="left"/>
    </w:lvl>
    <w:lvl w:ilvl="8" w:tplc="16F8926E">
      <w:numFmt w:val="decimal"/>
      <w:lvlText w:val=""/>
      <w:lvlJc w:val="left"/>
    </w:lvl>
  </w:abstractNum>
  <w:abstractNum w:abstractNumId="6" w15:restartNumberingAfterBreak="0">
    <w:nsid w:val="12AD228F"/>
    <w:multiLevelType w:val="hybridMultilevel"/>
    <w:tmpl w:val="12549BB6"/>
    <w:lvl w:ilvl="0" w:tplc="44C213AE">
      <w:start w:val="1"/>
      <w:numFmt w:val="bullet"/>
      <w:lvlText w:val="•"/>
      <w:lvlJc w:val="left"/>
      <w:pPr>
        <w:ind w:left="720" w:hanging="360"/>
      </w:pPr>
    </w:lvl>
    <w:lvl w:ilvl="1" w:tplc="7FA2E7B4">
      <w:numFmt w:val="decimal"/>
      <w:lvlText w:val=""/>
      <w:lvlJc w:val="left"/>
    </w:lvl>
    <w:lvl w:ilvl="2" w:tplc="64C684BA">
      <w:numFmt w:val="decimal"/>
      <w:lvlText w:val=""/>
      <w:lvlJc w:val="left"/>
    </w:lvl>
    <w:lvl w:ilvl="3" w:tplc="494C4396">
      <w:numFmt w:val="decimal"/>
      <w:lvlText w:val=""/>
      <w:lvlJc w:val="left"/>
    </w:lvl>
    <w:lvl w:ilvl="4" w:tplc="60005D26">
      <w:numFmt w:val="decimal"/>
      <w:lvlText w:val=""/>
      <w:lvlJc w:val="left"/>
    </w:lvl>
    <w:lvl w:ilvl="5" w:tplc="12D61B5E">
      <w:numFmt w:val="decimal"/>
      <w:lvlText w:val=""/>
      <w:lvlJc w:val="left"/>
    </w:lvl>
    <w:lvl w:ilvl="6" w:tplc="66A090B6">
      <w:numFmt w:val="decimal"/>
      <w:lvlText w:val=""/>
      <w:lvlJc w:val="left"/>
    </w:lvl>
    <w:lvl w:ilvl="7" w:tplc="3DB80534">
      <w:numFmt w:val="decimal"/>
      <w:lvlText w:val=""/>
      <w:lvlJc w:val="left"/>
    </w:lvl>
    <w:lvl w:ilvl="8" w:tplc="0EF40F9C">
      <w:numFmt w:val="decimal"/>
      <w:lvlText w:val=""/>
      <w:lvlJc w:val="left"/>
    </w:lvl>
  </w:abstractNum>
  <w:abstractNum w:abstractNumId="7" w15:restartNumberingAfterBreak="0">
    <w:nsid w:val="14F52C47"/>
    <w:multiLevelType w:val="multilevel"/>
    <w:tmpl w:val="C2AA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924176"/>
    <w:multiLevelType w:val="multilevel"/>
    <w:tmpl w:val="0F94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F17538"/>
    <w:multiLevelType w:val="hybridMultilevel"/>
    <w:tmpl w:val="8AD2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352AAD"/>
    <w:multiLevelType w:val="hybridMultilevel"/>
    <w:tmpl w:val="B170AA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E5823"/>
    <w:multiLevelType w:val="hybridMultilevel"/>
    <w:tmpl w:val="18FAA8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EB7BFE"/>
    <w:multiLevelType w:val="hybridMultilevel"/>
    <w:tmpl w:val="32C2C3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040A35"/>
    <w:multiLevelType w:val="hybridMultilevel"/>
    <w:tmpl w:val="7508217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00E63BF"/>
    <w:multiLevelType w:val="hybridMultilevel"/>
    <w:tmpl w:val="D130C22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209A7158"/>
    <w:multiLevelType w:val="hybridMultilevel"/>
    <w:tmpl w:val="10C6E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1E3B41"/>
    <w:multiLevelType w:val="hybridMultilevel"/>
    <w:tmpl w:val="DBEC6E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54C68"/>
    <w:multiLevelType w:val="hybridMultilevel"/>
    <w:tmpl w:val="E9D63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686524"/>
    <w:multiLevelType w:val="hybridMultilevel"/>
    <w:tmpl w:val="A2B6B4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D6682E"/>
    <w:multiLevelType w:val="multilevel"/>
    <w:tmpl w:val="F8C8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6F7927"/>
    <w:multiLevelType w:val="hybridMultilevel"/>
    <w:tmpl w:val="50565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46527"/>
    <w:multiLevelType w:val="multilevel"/>
    <w:tmpl w:val="A1CE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DF7EFC"/>
    <w:multiLevelType w:val="hybridMultilevel"/>
    <w:tmpl w:val="DC32EC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B04CF9"/>
    <w:multiLevelType w:val="hybridMultilevel"/>
    <w:tmpl w:val="4DC883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65F15D1"/>
    <w:multiLevelType w:val="hybridMultilevel"/>
    <w:tmpl w:val="524C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9D523B"/>
    <w:multiLevelType w:val="multilevel"/>
    <w:tmpl w:val="C406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A407C8"/>
    <w:multiLevelType w:val="multilevel"/>
    <w:tmpl w:val="59B0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560E93"/>
    <w:multiLevelType w:val="multilevel"/>
    <w:tmpl w:val="8438C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BA1FBD"/>
    <w:multiLevelType w:val="hybridMultilevel"/>
    <w:tmpl w:val="C0B8F6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BF38D6"/>
    <w:multiLevelType w:val="hybridMultilevel"/>
    <w:tmpl w:val="46CA17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A03D5B"/>
    <w:multiLevelType w:val="hybridMultilevel"/>
    <w:tmpl w:val="1B6C86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1906E3"/>
    <w:multiLevelType w:val="hybridMultilevel"/>
    <w:tmpl w:val="C268C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D6CE2"/>
    <w:multiLevelType w:val="hybridMultilevel"/>
    <w:tmpl w:val="F83CDBF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EC75CB2"/>
    <w:multiLevelType w:val="multilevel"/>
    <w:tmpl w:val="C592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0A1F63"/>
    <w:multiLevelType w:val="hybridMultilevel"/>
    <w:tmpl w:val="9CECA2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180ED3"/>
    <w:multiLevelType w:val="hybridMultilevel"/>
    <w:tmpl w:val="F09C3E74"/>
    <w:lvl w:ilvl="0" w:tplc="6ED08032">
      <w:start w:val="1"/>
      <w:numFmt w:val="bullet"/>
      <w:lvlText w:val="•"/>
      <w:lvlJc w:val="left"/>
      <w:pPr>
        <w:ind w:left="720" w:hanging="360"/>
      </w:pPr>
    </w:lvl>
    <w:lvl w:ilvl="1" w:tplc="9506A4A6">
      <w:numFmt w:val="decimal"/>
      <w:lvlText w:val=""/>
      <w:lvlJc w:val="left"/>
    </w:lvl>
    <w:lvl w:ilvl="2" w:tplc="10DC3A8E">
      <w:numFmt w:val="decimal"/>
      <w:lvlText w:val=""/>
      <w:lvlJc w:val="left"/>
    </w:lvl>
    <w:lvl w:ilvl="3" w:tplc="CCF2EA40">
      <w:numFmt w:val="decimal"/>
      <w:lvlText w:val=""/>
      <w:lvlJc w:val="left"/>
    </w:lvl>
    <w:lvl w:ilvl="4" w:tplc="2A8A4CFA">
      <w:numFmt w:val="decimal"/>
      <w:lvlText w:val=""/>
      <w:lvlJc w:val="left"/>
    </w:lvl>
    <w:lvl w:ilvl="5" w:tplc="7CA647E0">
      <w:numFmt w:val="decimal"/>
      <w:lvlText w:val=""/>
      <w:lvlJc w:val="left"/>
    </w:lvl>
    <w:lvl w:ilvl="6" w:tplc="D2244974">
      <w:numFmt w:val="decimal"/>
      <w:lvlText w:val=""/>
      <w:lvlJc w:val="left"/>
    </w:lvl>
    <w:lvl w:ilvl="7" w:tplc="5E2AE114">
      <w:numFmt w:val="decimal"/>
      <w:lvlText w:val=""/>
      <w:lvlJc w:val="left"/>
    </w:lvl>
    <w:lvl w:ilvl="8" w:tplc="725A4952">
      <w:numFmt w:val="decimal"/>
      <w:lvlText w:val=""/>
      <w:lvlJc w:val="left"/>
    </w:lvl>
  </w:abstractNum>
  <w:abstractNum w:abstractNumId="36" w15:restartNumberingAfterBreak="0">
    <w:nsid w:val="6219321F"/>
    <w:multiLevelType w:val="hybridMultilevel"/>
    <w:tmpl w:val="1DA0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6359F3"/>
    <w:multiLevelType w:val="hybridMultilevel"/>
    <w:tmpl w:val="12CC89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3D3032"/>
    <w:multiLevelType w:val="multilevel"/>
    <w:tmpl w:val="52BC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EA140C"/>
    <w:multiLevelType w:val="multilevel"/>
    <w:tmpl w:val="73A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7D584B"/>
    <w:multiLevelType w:val="hybridMultilevel"/>
    <w:tmpl w:val="17B02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033F64"/>
    <w:multiLevelType w:val="hybridMultilevel"/>
    <w:tmpl w:val="4A0AC6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D11D1"/>
    <w:multiLevelType w:val="multilevel"/>
    <w:tmpl w:val="8B4E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F441D0"/>
    <w:multiLevelType w:val="hybridMultilevel"/>
    <w:tmpl w:val="2898CE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427344">
    <w:abstractNumId w:val="21"/>
  </w:num>
  <w:num w:numId="2" w16cid:durableId="1112676349">
    <w:abstractNumId w:val="38"/>
  </w:num>
  <w:num w:numId="3" w16cid:durableId="1924222304">
    <w:abstractNumId w:val="33"/>
  </w:num>
  <w:num w:numId="4" w16cid:durableId="547254902">
    <w:abstractNumId w:val="34"/>
  </w:num>
  <w:num w:numId="5" w16cid:durableId="1036272012">
    <w:abstractNumId w:val="12"/>
  </w:num>
  <w:num w:numId="6" w16cid:durableId="891230597">
    <w:abstractNumId w:val="22"/>
  </w:num>
  <w:num w:numId="7" w16cid:durableId="1050882887">
    <w:abstractNumId w:val="3"/>
  </w:num>
  <w:num w:numId="8" w16cid:durableId="511990856">
    <w:abstractNumId w:val="2"/>
  </w:num>
  <w:num w:numId="9" w16cid:durableId="1799950287">
    <w:abstractNumId w:val="18"/>
  </w:num>
  <w:num w:numId="10" w16cid:durableId="990018309">
    <w:abstractNumId w:val="20"/>
  </w:num>
  <w:num w:numId="11" w16cid:durableId="1744988531">
    <w:abstractNumId w:val="31"/>
  </w:num>
  <w:num w:numId="12" w16cid:durableId="1267619767">
    <w:abstractNumId w:val="16"/>
  </w:num>
  <w:num w:numId="13" w16cid:durableId="1023752989">
    <w:abstractNumId w:val="11"/>
  </w:num>
  <w:num w:numId="14" w16cid:durableId="480004621">
    <w:abstractNumId w:val="28"/>
  </w:num>
  <w:num w:numId="15" w16cid:durableId="1026760966">
    <w:abstractNumId w:val="29"/>
  </w:num>
  <w:num w:numId="16" w16cid:durableId="1495339115">
    <w:abstractNumId w:val="0"/>
  </w:num>
  <w:num w:numId="17" w16cid:durableId="1277563270">
    <w:abstractNumId w:val="25"/>
  </w:num>
  <w:num w:numId="18" w16cid:durableId="706492629">
    <w:abstractNumId w:val="4"/>
  </w:num>
  <w:num w:numId="19" w16cid:durableId="830103844">
    <w:abstractNumId w:val="27"/>
  </w:num>
  <w:num w:numId="20" w16cid:durableId="420610595">
    <w:abstractNumId w:val="1"/>
  </w:num>
  <w:num w:numId="21" w16cid:durableId="1197351646">
    <w:abstractNumId w:val="19"/>
  </w:num>
  <w:num w:numId="22" w16cid:durableId="261770117">
    <w:abstractNumId w:val="42"/>
  </w:num>
  <w:num w:numId="23" w16cid:durableId="729966725">
    <w:abstractNumId w:val="26"/>
  </w:num>
  <w:num w:numId="24" w16cid:durableId="103770192">
    <w:abstractNumId w:val="9"/>
  </w:num>
  <w:num w:numId="25" w16cid:durableId="408575140">
    <w:abstractNumId w:val="36"/>
  </w:num>
  <w:num w:numId="26" w16cid:durableId="1844777372">
    <w:abstractNumId w:val="13"/>
  </w:num>
  <w:num w:numId="27" w16cid:durableId="804814474">
    <w:abstractNumId w:val="32"/>
  </w:num>
  <w:num w:numId="28" w16cid:durableId="893345433">
    <w:abstractNumId w:val="37"/>
  </w:num>
  <w:num w:numId="29" w16cid:durableId="1653409984">
    <w:abstractNumId w:val="39"/>
  </w:num>
  <w:num w:numId="30" w16cid:durableId="693388021">
    <w:abstractNumId w:val="8"/>
  </w:num>
  <w:num w:numId="31" w16cid:durableId="1008407826">
    <w:abstractNumId w:val="7"/>
  </w:num>
  <w:num w:numId="32" w16cid:durableId="1411737188">
    <w:abstractNumId w:val="6"/>
    <w:lvlOverride w:ilvl="0">
      <w:startOverride w:val="1"/>
    </w:lvlOverride>
  </w:num>
  <w:num w:numId="33" w16cid:durableId="32075377">
    <w:abstractNumId w:val="24"/>
  </w:num>
  <w:num w:numId="34" w16cid:durableId="1415201948">
    <w:abstractNumId w:val="40"/>
  </w:num>
  <w:num w:numId="35" w16cid:durableId="1031297547">
    <w:abstractNumId w:val="14"/>
  </w:num>
  <w:num w:numId="36" w16cid:durableId="1163546590">
    <w:abstractNumId w:val="35"/>
    <w:lvlOverride w:ilvl="0">
      <w:startOverride w:val="1"/>
    </w:lvlOverride>
  </w:num>
  <w:num w:numId="37" w16cid:durableId="2025474292">
    <w:abstractNumId w:val="5"/>
    <w:lvlOverride w:ilvl="0">
      <w:startOverride w:val="1"/>
    </w:lvlOverride>
  </w:num>
  <w:num w:numId="38" w16cid:durableId="1646084667">
    <w:abstractNumId w:val="17"/>
  </w:num>
  <w:num w:numId="39" w16cid:durableId="1620525961">
    <w:abstractNumId w:val="15"/>
  </w:num>
  <w:num w:numId="40" w16cid:durableId="1668820290">
    <w:abstractNumId w:val="43"/>
  </w:num>
  <w:num w:numId="41" w16cid:durableId="896476427">
    <w:abstractNumId w:val="30"/>
  </w:num>
  <w:num w:numId="42" w16cid:durableId="85663515">
    <w:abstractNumId w:val="41"/>
  </w:num>
  <w:num w:numId="43" w16cid:durableId="1938445745">
    <w:abstractNumId w:val="23"/>
  </w:num>
  <w:num w:numId="44" w16cid:durableId="1874462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A9"/>
    <w:rsid w:val="000134FA"/>
    <w:rsid w:val="00021506"/>
    <w:rsid w:val="00035AB6"/>
    <w:rsid w:val="0005068A"/>
    <w:rsid w:val="00053806"/>
    <w:rsid w:val="000557B3"/>
    <w:rsid w:val="00060915"/>
    <w:rsid w:val="00060A65"/>
    <w:rsid w:val="0006210D"/>
    <w:rsid w:val="00067680"/>
    <w:rsid w:val="00094349"/>
    <w:rsid w:val="000B37E9"/>
    <w:rsid w:val="000E2DF2"/>
    <w:rsid w:val="00102B21"/>
    <w:rsid w:val="001135D4"/>
    <w:rsid w:val="0012397E"/>
    <w:rsid w:val="00137401"/>
    <w:rsid w:val="001518C7"/>
    <w:rsid w:val="00164E8D"/>
    <w:rsid w:val="00177814"/>
    <w:rsid w:val="001A065D"/>
    <w:rsid w:val="001C7C07"/>
    <w:rsid w:val="001E3412"/>
    <w:rsid w:val="001E3A90"/>
    <w:rsid w:val="001E49AF"/>
    <w:rsid w:val="001F5B1A"/>
    <w:rsid w:val="00227D36"/>
    <w:rsid w:val="00237A1F"/>
    <w:rsid w:val="00260049"/>
    <w:rsid w:val="00267073"/>
    <w:rsid w:val="0027479B"/>
    <w:rsid w:val="00286C8C"/>
    <w:rsid w:val="002955CD"/>
    <w:rsid w:val="002A5732"/>
    <w:rsid w:val="002B108D"/>
    <w:rsid w:val="002C3C87"/>
    <w:rsid w:val="002D7C31"/>
    <w:rsid w:val="00323C7E"/>
    <w:rsid w:val="0034217A"/>
    <w:rsid w:val="00344EFF"/>
    <w:rsid w:val="00347166"/>
    <w:rsid w:val="003478A3"/>
    <w:rsid w:val="00360E05"/>
    <w:rsid w:val="00366765"/>
    <w:rsid w:val="0037161A"/>
    <w:rsid w:val="00375AF2"/>
    <w:rsid w:val="003A7FB2"/>
    <w:rsid w:val="003B1A59"/>
    <w:rsid w:val="003B4ADD"/>
    <w:rsid w:val="003E07B7"/>
    <w:rsid w:val="003E76C3"/>
    <w:rsid w:val="004117E2"/>
    <w:rsid w:val="0042038B"/>
    <w:rsid w:val="004318A8"/>
    <w:rsid w:val="00437EB9"/>
    <w:rsid w:val="00475276"/>
    <w:rsid w:val="0048275D"/>
    <w:rsid w:val="004A2440"/>
    <w:rsid w:val="004A4E60"/>
    <w:rsid w:val="004B1188"/>
    <w:rsid w:val="004D36AA"/>
    <w:rsid w:val="004D6ACC"/>
    <w:rsid w:val="004F2368"/>
    <w:rsid w:val="004F47F1"/>
    <w:rsid w:val="00500C1E"/>
    <w:rsid w:val="00512D04"/>
    <w:rsid w:val="0052218E"/>
    <w:rsid w:val="00532D78"/>
    <w:rsid w:val="00533CF7"/>
    <w:rsid w:val="005535CC"/>
    <w:rsid w:val="0056769C"/>
    <w:rsid w:val="00575482"/>
    <w:rsid w:val="005847A2"/>
    <w:rsid w:val="005A5C69"/>
    <w:rsid w:val="005B1B68"/>
    <w:rsid w:val="005B3AF4"/>
    <w:rsid w:val="005C23F7"/>
    <w:rsid w:val="005C5D3C"/>
    <w:rsid w:val="005C7F1D"/>
    <w:rsid w:val="005D2185"/>
    <w:rsid w:val="005D3CF5"/>
    <w:rsid w:val="005D3F68"/>
    <w:rsid w:val="005D5AA0"/>
    <w:rsid w:val="005E42CA"/>
    <w:rsid w:val="005E5A13"/>
    <w:rsid w:val="005F1D77"/>
    <w:rsid w:val="005F1DA1"/>
    <w:rsid w:val="006073E3"/>
    <w:rsid w:val="00612CEB"/>
    <w:rsid w:val="00626F79"/>
    <w:rsid w:val="00627130"/>
    <w:rsid w:val="00630D57"/>
    <w:rsid w:val="00642FBA"/>
    <w:rsid w:val="0065640F"/>
    <w:rsid w:val="00671026"/>
    <w:rsid w:val="00674162"/>
    <w:rsid w:val="006923A7"/>
    <w:rsid w:val="006C02F5"/>
    <w:rsid w:val="006C4C50"/>
    <w:rsid w:val="006D45BC"/>
    <w:rsid w:val="006E796E"/>
    <w:rsid w:val="006F5272"/>
    <w:rsid w:val="00701405"/>
    <w:rsid w:val="00703077"/>
    <w:rsid w:val="00706131"/>
    <w:rsid w:val="00707B57"/>
    <w:rsid w:val="007140A0"/>
    <w:rsid w:val="00730871"/>
    <w:rsid w:val="007522BD"/>
    <w:rsid w:val="00765694"/>
    <w:rsid w:val="00766217"/>
    <w:rsid w:val="007729F2"/>
    <w:rsid w:val="00775563"/>
    <w:rsid w:val="007A3087"/>
    <w:rsid w:val="007B6B1A"/>
    <w:rsid w:val="007C3804"/>
    <w:rsid w:val="007C4091"/>
    <w:rsid w:val="007C6F55"/>
    <w:rsid w:val="007F1A54"/>
    <w:rsid w:val="007F4314"/>
    <w:rsid w:val="00831700"/>
    <w:rsid w:val="00832F65"/>
    <w:rsid w:val="008478E4"/>
    <w:rsid w:val="00862791"/>
    <w:rsid w:val="008776C6"/>
    <w:rsid w:val="00885D18"/>
    <w:rsid w:val="008A2B45"/>
    <w:rsid w:val="008B6AE6"/>
    <w:rsid w:val="008F0E99"/>
    <w:rsid w:val="00924E69"/>
    <w:rsid w:val="009373FD"/>
    <w:rsid w:val="00952E31"/>
    <w:rsid w:val="00960650"/>
    <w:rsid w:val="00964A9E"/>
    <w:rsid w:val="009660B9"/>
    <w:rsid w:val="009700FC"/>
    <w:rsid w:val="009764E8"/>
    <w:rsid w:val="009838D4"/>
    <w:rsid w:val="009A4293"/>
    <w:rsid w:val="009A67DC"/>
    <w:rsid w:val="009D6139"/>
    <w:rsid w:val="009D71C1"/>
    <w:rsid w:val="009F2772"/>
    <w:rsid w:val="00A11CAF"/>
    <w:rsid w:val="00A26476"/>
    <w:rsid w:val="00A4348C"/>
    <w:rsid w:val="00A54178"/>
    <w:rsid w:val="00A564A1"/>
    <w:rsid w:val="00A71A38"/>
    <w:rsid w:val="00A81100"/>
    <w:rsid w:val="00A956F3"/>
    <w:rsid w:val="00AA035B"/>
    <w:rsid w:val="00AA4019"/>
    <w:rsid w:val="00AB544D"/>
    <w:rsid w:val="00AB78FE"/>
    <w:rsid w:val="00AC0EF6"/>
    <w:rsid w:val="00AC2C9B"/>
    <w:rsid w:val="00AC5D73"/>
    <w:rsid w:val="00AD5EB0"/>
    <w:rsid w:val="00AF6E75"/>
    <w:rsid w:val="00B14FFB"/>
    <w:rsid w:val="00B302AC"/>
    <w:rsid w:val="00B37500"/>
    <w:rsid w:val="00B703AA"/>
    <w:rsid w:val="00B75350"/>
    <w:rsid w:val="00B7648A"/>
    <w:rsid w:val="00B944E1"/>
    <w:rsid w:val="00BB05E0"/>
    <w:rsid w:val="00BC433E"/>
    <w:rsid w:val="00BD6A14"/>
    <w:rsid w:val="00BE2C2B"/>
    <w:rsid w:val="00BF204E"/>
    <w:rsid w:val="00C00D1D"/>
    <w:rsid w:val="00C228B7"/>
    <w:rsid w:val="00C53FE5"/>
    <w:rsid w:val="00CA2DDA"/>
    <w:rsid w:val="00CA3902"/>
    <w:rsid w:val="00CC0B2D"/>
    <w:rsid w:val="00CC5516"/>
    <w:rsid w:val="00CD1BBA"/>
    <w:rsid w:val="00D020EC"/>
    <w:rsid w:val="00D034A9"/>
    <w:rsid w:val="00D04C3E"/>
    <w:rsid w:val="00D245CC"/>
    <w:rsid w:val="00D656AD"/>
    <w:rsid w:val="00D75850"/>
    <w:rsid w:val="00D77367"/>
    <w:rsid w:val="00D82497"/>
    <w:rsid w:val="00D91F6E"/>
    <w:rsid w:val="00DD025B"/>
    <w:rsid w:val="00DD19B9"/>
    <w:rsid w:val="00DD1DF2"/>
    <w:rsid w:val="00DD2BCF"/>
    <w:rsid w:val="00DE1006"/>
    <w:rsid w:val="00DF036C"/>
    <w:rsid w:val="00DF06B3"/>
    <w:rsid w:val="00DF28BE"/>
    <w:rsid w:val="00E17B28"/>
    <w:rsid w:val="00E25BC1"/>
    <w:rsid w:val="00E43A6A"/>
    <w:rsid w:val="00E62537"/>
    <w:rsid w:val="00E72A6A"/>
    <w:rsid w:val="00E90B67"/>
    <w:rsid w:val="00E96D4F"/>
    <w:rsid w:val="00EE32FC"/>
    <w:rsid w:val="00F0403C"/>
    <w:rsid w:val="00F13951"/>
    <w:rsid w:val="00F25E46"/>
    <w:rsid w:val="00F52A90"/>
    <w:rsid w:val="00F90D2E"/>
    <w:rsid w:val="00FA095A"/>
    <w:rsid w:val="00FA3CFE"/>
    <w:rsid w:val="00FB2E73"/>
    <w:rsid w:val="00FB7E99"/>
    <w:rsid w:val="00FC1007"/>
    <w:rsid w:val="00FF4F9B"/>
    <w:rsid w:val="00FF53D9"/>
    <w:rsid w:val="00FF775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E9225"/>
  <w15:chartTrackingRefBased/>
  <w15:docId w15:val="{A9EAB41E-0B4D-4982-BF75-2C9DFE38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4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034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34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34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34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34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4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4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4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4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034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34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34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34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3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4A9"/>
    <w:rPr>
      <w:rFonts w:eastAsiaTheme="majorEastAsia" w:cstheme="majorBidi"/>
      <w:color w:val="272727" w:themeColor="text1" w:themeTint="D8"/>
    </w:rPr>
  </w:style>
  <w:style w:type="paragraph" w:styleId="Title">
    <w:name w:val="Title"/>
    <w:basedOn w:val="Normal"/>
    <w:next w:val="Normal"/>
    <w:link w:val="TitleChar"/>
    <w:uiPriority w:val="10"/>
    <w:qFormat/>
    <w:rsid w:val="007140A0"/>
    <w:pPr>
      <w:spacing w:after="80" w:line="240" w:lineRule="auto"/>
      <w:contextualSpacing/>
      <w:jc w:val="center"/>
    </w:pPr>
    <w:rPr>
      <w:rFonts w:ascii="Baloo Da 2" w:eastAsiaTheme="majorEastAsia" w:hAnsi="Baloo Da 2" w:cs="Baloo Da 2"/>
      <w:b/>
      <w:bCs/>
      <w:spacing w:val="-10"/>
      <w:kern w:val="28"/>
      <w:sz w:val="56"/>
      <w:szCs w:val="56"/>
    </w:rPr>
  </w:style>
  <w:style w:type="character" w:customStyle="1" w:styleId="TitleChar">
    <w:name w:val="Title Char"/>
    <w:basedOn w:val="DefaultParagraphFont"/>
    <w:link w:val="Title"/>
    <w:uiPriority w:val="10"/>
    <w:rsid w:val="007140A0"/>
    <w:rPr>
      <w:rFonts w:ascii="Baloo Da 2" w:eastAsiaTheme="majorEastAsia" w:hAnsi="Baloo Da 2" w:cs="Baloo Da 2"/>
      <w:b/>
      <w:bCs/>
      <w:spacing w:val="-10"/>
      <w:kern w:val="28"/>
      <w:sz w:val="56"/>
      <w:szCs w:val="56"/>
    </w:rPr>
  </w:style>
  <w:style w:type="paragraph" w:styleId="Subtitle">
    <w:name w:val="Subtitle"/>
    <w:basedOn w:val="Normal"/>
    <w:next w:val="Normal"/>
    <w:link w:val="SubtitleChar"/>
    <w:uiPriority w:val="11"/>
    <w:qFormat/>
    <w:rsid w:val="00D034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4A9"/>
    <w:pPr>
      <w:spacing w:before="160"/>
      <w:jc w:val="center"/>
    </w:pPr>
    <w:rPr>
      <w:i/>
      <w:iCs/>
      <w:color w:val="404040" w:themeColor="text1" w:themeTint="BF"/>
    </w:rPr>
  </w:style>
  <w:style w:type="character" w:customStyle="1" w:styleId="QuoteChar">
    <w:name w:val="Quote Char"/>
    <w:basedOn w:val="DefaultParagraphFont"/>
    <w:link w:val="Quote"/>
    <w:uiPriority w:val="29"/>
    <w:rsid w:val="00D034A9"/>
    <w:rPr>
      <w:i/>
      <w:iCs/>
      <w:color w:val="404040" w:themeColor="text1" w:themeTint="BF"/>
    </w:rPr>
  </w:style>
  <w:style w:type="paragraph" w:styleId="ListParagraph">
    <w:name w:val="List Paragraph"/>
    <w:basedOn w:val="Normal"/>
    <w:qFormat/>
    <w:rsid w:val="00D034A9"/>
    <w:pPr>
      <w:ind w:left="720"/>
      <w:contextualSpacing/>
    </w:pPr>
  </w:style>
  <w:style w:type="character" w:styleId="IntenseEmphasis">
    <w:name w:val="Intense Emphasis"/>
    <w:basedOn w:val="DefaultParagraphFont"/>
    <w:uiPriority w:val="21"/>
    <w:qFormat/>
    <w:rsid w:val="00D034A9"/>
    <w:rPr>
      <w:i/>
      <w:iCs/>
      <w:color w:val="2F5496" w:themeColor="accent1" w:themeShade="BF"/>
    </w:rPr>
  </w:style>
  <w:style w:type="paragraph" w:styleId="IntenseQuote">
    <w:name w:val="Intense Quote"/>
    <w:basedOn w:val="Normal"/>
    <w:next w:val="Normal"/>
    <w:link w:val="IntenseQuoteChar"/>
    <w:uiPriority w:val="30"/>
    <w:qFormat/>
    <w:rsid w:val="00D034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34A9"/>
    <w:rPr>
      <w:i/>
      <w:iCs/>
      <w:color w:val="2F5496" w:themeColor="accent1" w:themeShade="BF"/>
    </w:rPr>
  </w:style>
  <w:style w:type="character" w:styleId="IntenseReference">
    <w:name w:val="Intense Reference"/>
    <w:basedOn w:val="DefaultParagraphFont"/>
    <w:uiPriority w:val="32"/>
    <w:qFormat/>
    <w:rsid w:val="001E3412"/>
    <w:rPr>
      <w:rFonts w:ascii="Aptos" w:hAnsi="Aptos"/>
      <w:b/>
      <w:bCs/>
      <w:smallCaps/>
      <w:spacing w:val="5"/>
      <w:sz w:val="28"/>
      <w:szCs w:val="28"/>
    </w:rPr>
  </w:style>
  <w:style w:type="character" w:styleId="Strong">
    <w:name w:val="Strong"/>
    <w:basedOn w:val="DefaultParagraphFont"/>
    <w:uiPriority w:val="22"/>
    <w:qFormat/>
    <w:rsid w:val="003B4ADD"/>
    <w:rPr>
      <w:b/>
      <w:bCs/>
    </w:rPr>
  </w:style>
  <w:style w:type="paragraph" w:styleId="NormalWeb">
    <w:name w:val="Normal (Web)"/>
    <w:basedOn w:val="Normal"/>
    <w:uiPriority w:val="99"/>
    <w:semiHidden/>
    <w:unhideWhenUsed/>
    <w:rsid w:val="006F5272"/>
    <w:pPr>
      <w:spacing w:before="100" w:beforeAutospacing="1" w:after="100" w:afterAutospacing="1" w:line="240" w:lineRule="auto"/>
    </w:pPr>
    <w:rPr>
      <w:rFonts w:ascii="Times New Roman" w:eastAsia="Times New Roman" w:hAnsi="Times New Roman" w:cs="Times New Roman"/>
      <w:kern w:val="0"/>
      <w:lang w:bidi="bn-IN"/>
      <w14:ligatures w14:val="none"/>
    </w:rPr>
  </w:style>
  <w:style w:type="paragraph" w:styleId="Header">
    <w:name w:val="header"/>
    <w:basedOn w:val="Normal"/>
    <w:link w:val="HeaderChar"/>
    <w:uiPriority w:val="99"/>
    <w:unhideWhenUsed/>
    <w:rsid w:val="00D75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850"/>
  </w:style>
  <w:style w:type="paragraph" w:styleId="Footer">
    <w:name w:val="footer"/>
    <w:basedOn w:val="Normal"/>
    <w:link w:val="FooterChar"/>
    <w:uiPriority w:val="99"/>
    <w:unhideWhenUsed/>
    <w:rsid w:val="00D75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850"/>
  </w:style>
  <w:style w:type="paragraph" w:styleId="NoSpacing">
    <w:name w:val="No Spacing"/>
    <w:uiPriority w:val="1"/>
    <w:qFormat/>
    <w:rsid w:val="001135D4"/>
    <w:pPr>
      <w:spacing w:after="0" w:line="240" w:lineRule="auto"/>
    </w:pPr>
    <w:rPr>
      <w:rFonts w:eastAsiaTheme="minorEastAsia"/>
      <w:kern w:val="0"/>
      <w:sz w:val="22"/>
      <w:szCs w:val="22"/>
      <w14:ligatures w14:val="none"/>
    </w:rPr>
  </w:style>
  <w:style w:type="paragraph" w:styleId="BalloonText">
    <w:name w:val="Balloon Text"/>
    <w:basedOn w:val="Normal"/>
    <w:link w:val="BalloonTextChar"/>
    <w:uiPriority w:val="99"/>
    <w:semiHidden/>
    <w:unhideWhenUsed/>
    <w:rsid w:val="00113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5D4"/>
    <w:rPr>
      <w:rFonts w:ascii="Segoe UI" w:hAnsi="Segoe UI" w:cs="Segoe UI"/>
      <w:sz w:val="18"/>
      <w:szCs w:val="18"/>
    </w:rPr>
  </w:style>
  <w:style w:type="table" w:styleId="TableGridLight">
    <w:name w:val="Grid Table Light"/>
    <w:basedOn w:val="TableNormal"/>
    <w:uiPriority w:val="99"/>
    <w:rsid w:val="00AC0EF6"/>
    <w:pPr>
      <w:spacing w:after="0" w:line="240" w:lineRule="auto"/>
    </w:pPr>
    <w:rPr>
      <w:rFonts w:eastAsiaTheme="minorEastAsia"/>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4z29wjxl">
    <w:name w:val="c4_z29wjxl"/>
    <w:basedOn w:val="DefaultParagraphFont"/>
    <w:rsid w:val="00AC0EF6"/>
  </w:style>
  <w:style w:type="paragraph" w:styleId="Revision">
    <w:name w:val="Revision"/>
    <w:hidden/>
    <w:uiPriority w:val="99"/>
    <w:semiHidden/>
    <w:rsid w:val="009373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E2AF2-AB35-458D-8255-48A7CF198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7</Pages>
  <Words>1774</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Noshin Sharmilee</dc:creator>
  <cp:keywords/>
  <dc:description/>
  <cp:lastModifiedBy>Noshin Sharmilee</cp:lastModifiedBy>
  <cp:revision>23</cp:revision>
  <dcterms:created xsi:type="dcterms:W3CDTF">2026-05-17T09:53:00Z</dcterms:created>
  <dcterms:modified xsi:type="dcterms:W3CDTF">2026-06-04T06:45:00Z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e7b39bde-8ede-44c7-872e-a0ec8f616793</vt:lpwstr>
  </property>
</Properties>
</file>