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E8CFB" w14:textId="0D4C933D" w:rsidR="00F21173" w:rsidRPr="00B075BC" w:rsidRDefault="00F21173" w:rsidP="00F21173">
      <w:pPr>
        <w:contextualSpacing/>
        <w:jc w:val="center"/>
        <w:rPr>
          <w:b/>
          <w:color w:val="000000"/>
          <w:sz w:val="22"/>
          <w:szCs w:val="22"/>
          <w:lang w:val="en-GB"/>
        </w:rPr>
      </w:pPr>
      <w:r w:rsidRPr="00B075BC">
        <w:rPr>
          <w:noProof/>
          <w:lang w:val="en-GB" w:eastAsia="de-DE"/>
        </w:rPr>
        <w:drawing>
          <wp:inline distT="0" distB="0" distL="0" distR="0" wp14:anchorId="44F4E33E" wp14:editId="07E8E958">
            <wp:extent cx="1447800" cy="450850"/>
            <wp:effectExtent l="0" t="0" r="0" b="6350"/>
            <wp:docPr id="645578902" name="Picture 1" descr="https://bangladesch.org/fileadmin/system/img/netzbangladesch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https://bangladesch.org/fileadmin/system/img/netzbangladesch_logo.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47800" cy="450850"/>
                    </a:xfrm>
                    <a:prstGeom prst="rect">
                      <a:avLst/>
                    </a:prstGeom>
                    <a:noFill/>
                    <a:ln>
                      <a:noFill/>
                    </a:ln>
                  </pic:spPr>
                </pic:pic>
              </a:graphicData>
            </a:graphic>
          </wp:inline>
        </w:drawing>
      </w:r>
    </w:p>
    <w:p w14:paraId="0633294B" w14:textId="77777777" w:rsidR="00F21173" w:rsidRPr="00B075BC" w:rsidRDefault="00F21173" w:rsidP="00F21173">
      <w:pPr>
        <w:contextualSpacing/>
        <w:jc w:val="center"/>
        <w:rPr>
          <w:b/>
          <w:color w:val="000000"/>
          <w:sz w:val="22"/>
          <w:szCs w:val="22"/>
          <w:lang w:val="en-GB"/>
        </w:rPr>
      </w:pPr>
    </w:p>
    <w:p w14:paraId="73C3C6E3" w14:textId="77777777" w:rsidR="00F21173" w:rsidRPr="00B075BC" w:rsidRDefault="00F21173" w:rsidP="00F21173">
      <w:pPr>
        <w:contextualSpacing/>
        <w:jc w:val="center"/>
        <w:rPr>
          <w:b/>
          <w:color w:val="000000"/>
          <w:sz w:val="22"/>
          <w:szCs w:val="22"/>
          <w:lang w:val="en-GB"/>
        </w:rPr>
      </w:pPr>
    </w:p>
    <w:p w14:paraId="38B1DC7B" w14:textId="77777777" w:rsidR="00F21173" w:rsidRPr="00B075BC" w:rsidRDefault="00F21173" w:rsidP="00F21173">
      <w:pPr>
        <w:contextualSpacing/>
        <w:jc w:val="center"/>
        <w:rPr>
          <w:b/>
          <w:color w:val="000000"/>
          <w:sz w:val="22"/>
          <w:szCs w:val="22"/>
          <w:lang w:val="en-GB"/>
        </w:rPr>
      </w:pPr>
    </w:p>
    <w:p w14:paraId="1A642624" w14:textId="77777777" w:rsidR="00F21173" w:rsidRPr="00B075BC" w:rsidRDefault="00F21173" w:rsidP="00F21173">
      <w:pPr>
        <w:contextualSpacing/>
        <w:jc w:val="center"/>
        <w:rPr>
          <w:color w:val="000000"/>
          <w:lang w:val="en-GB"/>
        </w:rPr>
      </w:pPr>
      <w:r w:rsidRPr="00B075BC">
        <w:rPr>
          <w:b/>
          <w:color w:val="000000"/>
          <w:lang w:val="en-GB"/>
        </w:rPr>
        <w:t>Terms of Reference</w:t>
      </w:r>
    </w:p>
    <w:p w14:paraId="0F17E32F" w14:textId="77777777" w:rsidR="00F21173" w:rsidRPr="00B075BC" w:rsidRDefault="00F21173" w:rsidP="00F21173">
      <w:pPr>
        <w:contextualSpacing/>
        <w:jc w:val="center"/>
        <w:rPr>
          <w:color w:val="000000"/>
          <w:lang w:val="en-GB"/>
        </w:rPr>
      </w:pPr>
    </w:p>
    <w:p w14:paraId="1EA00898" w14:textId="77777777" w:rsidR="00D30F07" w:rsidRPr="00D30F07" w:rsidRDefault="00D30F07" w:rsidP="00D30F07">
      <w:pPr>
        <w:contextualSpacing/>
        <w:jc w:val="center"/>
        <w:rPr>
          <w:bCs/>
          <w:color w:val="000000"/>
          <w:lang w:val="en-GB"/>
        </w:rPr>
      </w:pPr>
      <w:r w:rsidRPr="00D30F07">
        <w:rPr>
          <w:bCs/>
          <w:color w:val="000000"/>
          <w:lang w:val="en-GB"/>
        </w:rPr>
        <w:t>Feasibility Study for a New Programme on Climate Resilient Livelihoods</w:t>
      </w:r>
    </w:p>
    <w:p w14:paraId="4F14CF06" w14:textId="7C7664DD" w:rsidR="00F21173" w:rsidRDefault="00D30F07" w:rsidP="00D30F07">
      <w:pPr>
        <w:contextualSpacing/>
        <w:jc w:val="center"/>
        <w:rPr>
          <w:bCs/>
          <w:color w:val="000000"/>
          <w:lang w:val="en-GB"/>
        </w:rPr>
      </w:pPr>
      <w:r w:rsidRPr="00D30F07">
        <w:rPr>
          <w:bCs/>
          <w:color w:val="000000"/>
          <w:lang w:val="en-GB"/>
        </w:rPr>
        <w:t>by NETZ and its Partner Organisations</w:t>
      </w:r>
    </w:p>
    <w:p w14:paraId="6C6F4F9B" w14:textId="77777777" w:rsidR="00D30F07" w:rsidRPr="00B075BC" w:rsidRDefault="00D30F07" w:rsidP="00D30F07">
      <w:pPr>
        <w:contextualSpacing/>
        <w:jc w:val="center"/>
        <w:rPr>
          <w:color w:val="000000"/>
          <w:lang w:val="en-GB"/>
        </w:rPr>
      </w:pPr>
    </w:p>
    <w:p w14:paraId="6C56EBAC" w14:textId="77777777" w:rsidR="00F21173" w:rsidRPr="00B075BC" w:rsidRDefault="00F21173" w:rsidP="00F21173">
      <w:pPr>
        <w:contextualSpacing/>
        <w:rPr>
          <w:color w:val="000000"/>
          <w:lang w:val="en-GB"/>
        </w:rPr>
      </w:pPr>
    </w:p>
    <w:p w14:paraId="5D9C2529" w14:textId="1F8A961E" w:rsidR="00F21173" w:rsidRPr="00B075BC" w:rsidRDefault="00F21173" w:rsidP="00F21173">
      <w:pPr>
        <w:contextualSpacing/>
        <w:jc w:val="both"/>
        <w:rPr>
          <w:b/>
          <w:color w:val="000000"/>
          <w:lang w:val="en-GB"/>
        </w:rPr>
      </w:pPr>
      <w:r w:rsidRPr="00B075BC">
        <w:rPr>
          <w:b/>
          <w:color w:val="000000"/>
          <w:lang w:val="en-GB"/>
        </w:rPr>
        <w:t>1. Background and rationale</w:t>
      </w:r>
      <w:r w:rsidR="008B3CAE">
        <w:rPr>
          <w:b/>
          <w:color w:val="000000"/>
          <w:lang w:val="en-GB"/>
        </w:rPr>
        <w:t xml:space="preserve"> </w:t>
      </w:r>
    </w:p>
    <w:p w14:paraId="4A4A8384" w14:textId="77777777" w:rsidR="00F21173" w:rsidRPr="00B075BC" w:rsidRDefault="00F21173" w:rsidP="00F21173">
      <w:pPr>
        <w:contextualSpacing/>
        <w:jc w:val="both"/>
        <w:rPr>
          <w:color w:val="000000"/>
          <w:lang w:val="en-GB"/>
        </w:rPr>
      </w:pPr>
    </w:p>
    <w:p w14:paraId="40150EB8" w14:textId="727AEEF1" w:rsidR="00755613" w:rsidRDefault="00755613" w:rsidP="00755613">
      <w:pPr>
        <w:jc w:val="both"/>
        <w:rPr>
          <w:color w:val="000000"/>
          <w:lang w:val="en-GB"/>
        </w:rPr>
      </w:pPr>
      <w:r w:rsidRPr="00755613">
        <w:rPr>
          <w:color w:val="000000"/>
          <w:lang w:val="en-GB"/>
        </w:rPr>
        <w:t xml:space="preserve">NETZ Partnership for Development and Justice (NETZ) is a non-governmental charitable organisation registered in both Germany and Bangladesh. Since 1989, NETZ, in collaboration with its local partner organisations, has supported </w:t>
      </w:r>
      <w:r w:rsidR="001E3218" w:rsidRPr="00755613">
        <w:rPr>
          <w:color w:val="000000"/>
          <w:lang w:val="en-GB"/>
        </w:rPr>
        <w:t>self-help</w:t>
      </w:r>
      <w:r w:rsidRPr="00755613">
        <w:rPr>
          <w:color w:val="000000"/>
          <w:lang w:val="en-GB"/>
        </w:rPr>
        <w:t xml:space="preserve"> initiatives in the areas of education, human rights, and climate resilient livelihoods.</w:t>
      </w:r>
    </w:p>
    <w:p w14:paraId="774C1B0E" w14:textId="77777777" w:rsidR="00755613" w:rsidRPr="00755613" w:rsidRDefault="00755613" w:rsidP="00755613">
      <w:pPr>
        <w:jc w:val="both"/>
        <w:rPr>
          <w:color w:val="000000"/>
          <w:lang w:val="en-GB"/>
        </w:rPr>
      </w:pPr>
    </w:p>
    <w:p w14:paraId="02E27533" w14:textId="6BD6F26B" w:rsidR="00755613" w:rsidRDefault="00755613" w:rsidP="00755613">
      <w:pPr>
        <w:jc w:val="both"/>
        <w:rPr>
          <w:color w:val="000000"/>
          <w:lang w:val="en-GB"/>
        </w:rPr>
      </w:pPr>
      <w:r w:rsidRPr="00755613">
        <w:rPr>
          <w:color w:val="000000"/>
          <w:lang w:val="en-GB"/>
        </w:rPr>
        <w:t xml:space="preserve">Due to its geophysical conditions and socio-economic context, Bangladesh is widely recognised as one of the </w:t>
      </w:r>
      <w:proofErr w:type="spellStart"/>
      <w:r w:rsidRPr="00755613">
        <w:rPr>
          <w:color w:val="000000"/>
          <w:lang w:val="en-GB"/>
        </w:rPr>
        <w:t>countries</w:t>
      </w:r>
      <w:proofErr w:type="spellEnd"/>
      <w:r w:rsidRPr="00755613">
        <w:rPr>
          <w:color w:val="000000"/>
          <w:lang w:val="en-GB"/>
        </w:rPr>
        <w:t xml:space="preserve"> most vulnerable to the impacts of climate change. Natural disasters, climate related hazards and extreme weather events such as floods, droughts, heatwaves and cyclones have increased markedly in both frequency and intensity over recent decades. These developments have had far reaching adverse effects on agricultural production, food security, education, public health and housing.</w:t>
      </w:r>
    </w:p>
    <w:p w14:paraId="2B5C4341" w14:textId="77777777" w:rsidR="00755613" w:rsidRPr="00755613" w:rsidRDefault="00755613" w:rsidP="00755613">
      <w:pPr>
        <w:jc w:val="both"/>
        <w:rPr>
          <w:color w:val="000000"/>
          <w:lang w:val="en-GB"/>
        </w:rPr>
      </w:pPr>
    </w:p>
    <w:p w14:paraId="44B6DC86" w14:textId="513134B6" w:rsidR="00755613" w:rsidRDefault="00755613" w:rsidP="00755613">
      <w:pPr>
        <w:jc w:val="both"/>
        <w:rPr>
          <w:color w:val="000000"/>
          <w:lang w:val="en-GB"/>
        </w:rPr>
      </w:pPr>
      <w:r w:rsidRPr="00755613">
        <w:rPr>
          <w:color w:val="000000"/>
          <w:lang w:val="en-GB"/>
        </w:rPr>
        <w:t>At the same time, increasing pressure on natural resources is contributing to a rise in local conflicts, with serious implications for the human rights of marginalised communities. People living in extreme poverty are disproportionately affected, as they possess fewer assets and have more limited adaptive capacities. Effective and locally appropriate approaches to disaster risk reduction and climate adaptation remain insufficiently developed and implemented.</w:t>
      </w:r>
    </w:p>
    <w:p w14:paraId="7090E1BC" w14:textId="77777777" w:rsidR="00755613" w:rsidRPr="00755613" w:rsidRDefault="00755613" w:rsidP="00755613">
      <w:pPr>
        <w:jc w:val="both"/>
        <w:rPr>
          <w:color w:val="000000"/>
          <w:lang w:val="en-GB"/>
        </w:rPr>
      </w:pPr>
    </w:p>
    <w:p w14:paraId="3636E6F6" w14:textId="77777777" w:rsidR="00755613" w:rsidRDefault="00755613" w:rsidP="00755613">
      <w:pPr>
        <w:jc w:val="both"/>
        <w:rPr>
          <w:color w:val="000000"/>
          <w:lang w:val="en-GB"/>
        </w:rPr>
      </w:pPr>
      <w:r w:rsidRPr="00755613">
        <w:rPr>
          <w:color w:val="000000"/>
          <w:lang w:val="en-GB"/>
        </w:rPr>
        <w:t>In response, NETZ and its partner organisations are developing a new programme aimed at addressing the impacts of climate change in highly affected regions, while also promoting climate protection measures. The programme seeks to sustainably reduce hunger and extreme poverty among households in remote floodplain areas, while addressing the structural marginalisation and vulnerability of indigenous communities and women in northern Bangladesh.</w:t>
      </w:r>
    </w:p>
    <w:p w14:paraId="4BAE8E5B" w14:textId="77777777" w:rsidR="00755613" w:rsidRPr="00755613" w:rsidRDefault="00755613" w:rsidP="00755613">
      <w:pPr>
        <w:jc w:val="both"/>
        <w:rPr>
          <w:color w:val="000000"/>
          <w:lang w:val="en-GB"/>
        </w:rPr>
      </w:pPr>
    </w:p>
    <w:p w14:paraId="7ED807C7" w14:textId="73473385" w:rsidR="006D20A1" w:rsidRPr="002A4EA1" w:rsidRDefault="00755613" w:rsidP="00755613">
      <w:pPr>
        <w:jc w:val="both"/>
        <w:rPr>
          <w:lang w:val="en-GB"/>
        </w:rPr>
      </w:pPr>
      <w:r w:rsidRPr="00755613">
        <w:rPr>
          <w:color w:val="000000"/>
          <w:lang w:val="en-GB"/>
        </w:rPr>
        <w:t>A central objective of the programme is to strengthen the capacities of these groups to cope with and adapt to climate related risks, while enabling them to effectively represent and safeguard the rights and interests of their families and communities.</w:t>
      </w:r>
    </w:p>
    <w:p w14:paraId="178D60FC" w14:textId="77777777" w:rsidR="00F21173" w:rsidRPr="00B075BC" w:rsidRDefault="00F21173" w:rsidP="00F21173">
      <w:pPr>
        <w:contextualSpacing/>
        <w:jc w:val="both"/>
        <w:rPr>
          <w:color w:val="000000"/>
          <w:lang w:val="en-GB"/>
        </w:rPr>
      </w:pPr>
    </w:p>
    <w:p w14:paraId="25CE5C92" w14:textId="77777777" w:rsidR="00F21173" w:rsidRPr="00B075BC" w:rsidRDefault="00F21173" w:rsidP="00F21173">
      <w:pPr>
        <w:contextualSpacing/>
        <w:jc w:val="both"/>
        <w:rPr>
          <w:b/>
          <w:color w:val="000000"/>
          <w:lang w:val="en-GB"/>
        </w:rPr>
      </w:pPr>
      <w:r w:rsidRPr="00B075BC">
        <w:rPr>
          <w:b/>
          <w:color w:val="000000"/>
          <w:lang w:val="en-GB"/>
        </w:rPr>
        <w:t>2. Purpose, objectives and use</w:t>
      </w:r>
    </w:p>
    <w:p w14:paraId="2AE6ED2A" w14:textId="3DBCE33D" w:rsidR="00960B74" w:rsidRPr="00B075BC" w:rsidRDefault="00960B74" w:rsidP="00F21173">
      <w:pPr>
        <w:contextualSpacing/>
        <w:jc w:val="both"/>
        <w:rPr>
          <w:color w:val="000000"/>
          <w:lang w:val="en-GB"/>
        </w:rPr>
      </w:pPr>
      <w:r>
        <w:t xml:space="preserve">To establish a solid foundation for the conceptual development of the planned program, a feasibility study will be conducted. This study will evaluate the feasibility of the proposed intervention by analyzing its validity, alignment with the needs of the target groups, and consideration of all potential opportunities and risks. </w:t>
      </w:r>
      <w:r w:rsidR="008A009B" w:rsidRPr="008A009B">
        <w:t>In addition, the study will evaluate the intervention against the OECD DAC criteria, namely relevance, coherence, efficiency, effectiveness, impact and sustainability</w:t>
      </w:r>
    </w:p>
    <w:p w14:paraId="46EAEA7E" w14:textId="77777777" w:rsidR="00F21173" w:rsidRPr="00B075BC" w:rsidRDefault="00F21173" w:rsidP="00F21173">
      <w:pPr>
        <w:contextualSpacing/>
        <w:jc w:val="both"/>
        <w:rPr>
          <w:color w:val="000000"/>
          <w:lang w:val="en-GB"/>
        </w:rPr>
      </w:pPr>
    </w:p>
    <w:p w14:paraId="603B5362" w14:textId="7F61DB28" w:rsidR="001429AE" w:rsidRPr="00F36057" w:rsidRDefault="001429AE" w:rsidP="00F36057">
      <w:pPr>
        <w:contextualSpacing/>
        <w:jc w:val="both"/>
        <w:rPr>
          <w:lang w:val="en-GB"/>
        </w:rPr>
      </w:pPr>
      <w:r>
        <w:lastRenderedPageBreak/>
        <w:t>The primary users and beneficiaries of the feasibility study results are the local implementing organizations</w:t>
      </w:r>
      <w:r w:rsidR="00466290">
        <w:t>: MJSKS</w:t>
      </w:r>
      <w:r w:rsidR="00532D6A">
        <w:t>,</w:t>
      </w:r>
      <w:r w:rsidR="00510F82">
        <w:t xml:space="preserve"> </w:t>
      </w:r>
      <w:proofErr w:type="spellStart"/>
      <w:r w:rsidRPr="006D20A1">
        <w:t>Pollisree</w:t>
      </w:r>
      <w:proofErr w:type="spellEnd"/>
      <w:r>
        <w:t>, and NETZ</w:t>
      </w:r>
      <w:r w:rsidR="00F36057">
        <w:t xml:space="preserve">. </w:t>
      </w:r>
      <w:r w:rsidR="00F36057" w:rsidRPr="00F36057">
        <w:rPr>
          <w:lang w:val="en-GB"/>
        </w:rPr>
        <w:t xml:space="preserve">They will use the findings and recommendations to refine and strengthen the programme design. </w:t>
      </w:r>
      <w:r>
        <w:t>The feasibility study will be submitted to the German Federal Ministry for Economic Cooperation and Development (BMZ) along with the program proposal.</w:t>
      </w:r>
    </w:p>
    <w:p w14:paraId="55468E94" w14:textId="77777777" w:rsidR="001429AE" w:rsidRDefault="001429AE" w:rsidP="00F21173">
      <w:pPr>
        <w:contextualSpacing/>
        <w:jc w:val="both"/>
        <w:rPr>
          <w:color w:val="000000"/>
          <w:lang w:val="en-GB"/>
        </w:rPr>
      </w:pPr>
    </w:p>
    <w:p w14:paraId="610DE5C5" w14:textId="77777777" w:rsidR="00F21173" w:rsidRPr="00B075BC" w:rsidRDefault="00F21173" w:rsidP="00F21173">
      <w:pPr>
        <w:contextualSpacing/>
        <w:jc w:val="both"/>
        <w:rPr>
          <w:color w:val="000000"/>
          <w:lang w:val="en-GB"/>
        </w:rPr>
      </w:pPr>
    </w:p>
    <w:p w14:paraId="6D34AE86" w14:textId="77777777" w:rsidR="00F21173" w:rsidRPr="00B075BC" w:rsidRDefault="00F21173" w:rsidP="00F21173">
      <w:pPr>
        <w:contextualSpacing/>
        <w:jc w:val="both"/>
        <w:rPr>
          <w:b/>
          <w:color w:val="000000"/>
          <w:lang w:val="en-GB"/>
        </w:rPr>
      </w:pPr>
      <w:r w:rsidRPr="00B075BC">
        <w:rPr>
          <w:b/>
          <w:color w:val="000000"/>
          <w:lang w:val="en-GB"/>
        </w:rPr>
        <w:t>3. Scope of work</w:t>
      </w:r>
    </w:p>
    <w:p w14:paraId="19184377" w14:textId="77777777" w:rsidR="00F21173" w:rsidRPr="00B075BC" w:rsidRDefault="00F21173" w:rsidP="00F21173">
      <w:pPr>
        <w:contextualSpacing/>
        <w:jc w:val="both"/>
        <w:rPr>
          <w:b/>
          <w:color w:val="000000"/>
          <w:lang w:val="en-GB"/>
        </w:rPr>
      </w:pPr>
      <w:r w:rsidRPr="00B075BC">
        <w:rPr>
          <w:b/>
          <w:color w:val="000000"/>
          <w:lang w:val="en-GB"/>
        </w:rPr>
        <w:t>3.1 Timeframe, geographic coverage</w:t>
      </w:r>
    </w:p>
    <w:p w14:paraId="1C933F25" w14:textId="06F1187E" w:rsidR="00F21173" w:rsidRDefault="00030707" w:rsidP="00030707">
      <w:pPr>
        <w:contextualSpacing/>
        <w:jc w:val="both"/>
        <w:rPr>
          <w:color w:val="000000"/>
          <w:lang w:val="en-GB"/>
        </w:rPr>
      </w:pPr>
      <w:r w:rsidRPr="77F436EF">
        <w:rPr>
          <w:color w:val="000000" w:themeColor="text1"/>
          <w:lang w:val="en-GB"/>
        </w:rPr>
        <w:t xml:space="preserve">The feasibility study shall be conducted between 20 July 2026 and </w:t>
      </w:r>
      <w:r w:rsidR="7E8ED651" w:rsidRPr="77F436EF">
        <w:rPr>
          <w:color w:val="000000" w:themeColor="text1"/>
          <w:lang w:val="en-GB"/>
        </w:rPr>
        <w:t>1</w:t>
      </w:r>
      <w:r w:rsidR="6C2B98C2" w:rsidRPr="77F436EF">
        <w:rPr>
          <w:color w:val="000000" w:themeColor="text1"/>
          <w:lang w:val="en-GB"/>
        </w:rPr>
        <w:t>7</w:t>
      </w:r>
      <w:r w:rsidRPr="77F436EF">
        <w:rPr>
          <w:color w:val="000000" w:themeColor="text1"/>
          <w:lang w:val="en-GB"/>
        </w:rPr>
        <w:t xml:space="preserve"> August 2026. The study will cover the operational areas of the partner organisations, specifically in </w:t>
      </w:r>
      <w:proofErr w:type="spellStart"/>
      <w:r w:rsidRPr="77F436EF">
        <w:rPr>
          <w:color w:val="000000" w:themeColor="text1"/>
          <w:lang w:val="en-GB"/>
        </w:rPr>
        <w:t>Lalmonirhat</w:t>
      </w:r>
      <w:proofErr w:type="spellEnd"/>
      <w:r w:rsidRPr="77F436EF">
        <w:rPr>
          <w:color w:val="000000" w:themeColor="text1"/>
          <w:lang w:val="en-GB"/>
        </w:rPr>
        <w:t xml:space="preserve"> and </w:t>
      </w:r>
      <w:proofErr w:type="spellStart"/>
      <w:r w:rsidRPr="77F436EF">
        <w:rPr>
          <w:color w:val="000000" w:themeColor="text1"/>
          <w:lang w:val="en-GB"/>
        </w:rPr>
        <w:t>Joypurhat</w:t>
      </w:r>
      <w:proofErr w:type="spellEnd"/>
      <w:r w:rsidRPr="77F436EF">
        <w:rPr>
          <w:color w:val="000000" w:themeColor="text1"/>
          <w:lang w:val="en-GB"/>
        </w:rPr>
        <w:t xml:space="preserve"> districts in Bangladesh, where the respective partner NGOs are active.</w:t>
      </w:r>
    </w:p>
    <w:p w14:paraId="2F763855" w14:textId="77777777" w:rsidR="00030707" w:rsidRPr="00B075BC" w:rsidRDefault="00030707" w:rsidP="00030707">
      <w:pPr>
        <w:contextualSpacing/>
        <w:jc w:val="both"/>
        <w:rPr>
          <w:color w:val="000000"/>
          <w:lang w:val="en-GB"/>
        </w:rPr>
      </w:pPr>
    </w:p>
    <w:p w14:paraId="57EA3DF0" w14:textId="77777777" w:rsidR="00F21173" w:rsidRPr="00B075BC" w:rsidRDefault="00F21173" w:rsidP="00F21173">
      <w:pPr>
        <w:contextualSpacing/>
        <w:jc w:val="both"/>
        <w:rPr>
          <w:b/>
          <w:color w:val="000000"/>
          <w:lang w:val="en-GB"/>
        </w:rPr>
      </w:pPr>
      <w:r w:rsidRPr="00B075BC">
        <w:rPr>
          <w:b/>
          <w:color w:val="000000"/>
          <w:lang w:val="en-GB"/>
        </w:rPr>
        <w:t>3.2 Mandatory report structure and guiding questions</w:t>
      </w:r>
    </w:p>
    <w:p w14:paraId="12031BED" w14:textId="1CCBD4E5" w:rsidR="00F21173" w:rsidRPr="00F7721B" w:rsidRDefault="00F21173" w:rsidP="00DD7DBF">
      <w:pPr>
        <w:contextualSpacing/>
        <w:jc w:val="both"/>
        <w:rPr>
          <w:color w:val="000000"/>
          <w:lang w:val="en-GB"/>
        </w:rPr>
      </w:pPr>
      <w:r w:rsidRPr="00B075BC">
        <w:rPr>
          <w:color w:val="000000"/>
          <w:lang w:val="en-GB"/>
        </w:rPr>
        <w:t xml:space="preserve">The feasibility study must follow the formal report structure provided below (see as well chapter 5 in this regard) and answer the mandatory guiding questions provided in </w:t>
      </w:r>
      <w:r w:rsidRPr="00B075BC">
        <w:rPr>
          <w:b/>
          <w:color w:val="000000"/>
          <w:lang w:val="en-GB"/>
        </w:rPr>
        <w:t>Annex 1</w:t>
      </w:r>
      <w:r w:rsidRPr="00B075BC">
        <w:rPr>
          <w:color w:val="000000"/>
          <w:lang w:val="en-GB"/>
        </w:rPr>
        <w:t>, which</w:t>
      </w:r>
      <w:r w:rsidRPr="00B075BC">
        <w:rPr>
          <w:lang w:val="en-GB"/>
        </w:rPr>
        <w:t xml:space="preserve"> </w:t>
      </w:r>
      <w:r w:rsidRPr="00B075BC">
        <w:rPr>
          <w:color w:val="000000"/>
          <w:lang w:val="en-GB"/>
        </w:rPr>
        <w:t>follow the key questions provided in the BMZ/</w:t>
      </w:r>
      <w:proofErr w:type="spellStart"/>
      <w:r w:rsidRPr="00B075BC">
        <w:rPr>
          <w:color w:val="000000"/>
          <w:lang w:val="en-GB"/>
        </w:rPr>
        <w:t>bengo</w:t>
      </w:r>
      <w:proofErr w:type="spellEnd"/>
      <w:r w:rsidRPr="00B075BC">
        <w:rPr>
          <w:color w:val="000000"/>
          <w:lang w:val="en-GB"/>
        </w:rPr>
        <w:t xml:space="preserve"> guidance note on procedures for feasibility studies and have been, where required, added and specified by NETZ. </w:t>
      </w:r>
      <w:r w:rsidRPr="00F7721B">
        <w:rPr>
          <w:color w:val="000000"/>
          <w:lang w:val="en-GB"/>
        </w:rPr>
        <w:t>The consultants are free to include new sub-chapters under the chapter structure provided below, if feasible, to improve the overall structure of the report.</w:t>
      </w:r>
    </w:p>
    <w:p w14:paraId="1C53199C" w14:textId="77777777" w:rsidR="00F21173" w:rsidRPr="00B075BC" w:rsidRDefault="00F21173" w:rsidP="00F21173">
      <w:pPr>
        <w:contextualSpacing/>
        <w:jc w:val="both"/>
        <w:rPr>
          <w:color w:val="000000"/>
          <w:lang w:val="en-GB"/>
        </w:rPr>
      </w:pPr>
    </w:p>
    <w:p w14:paraId="3B0A263A" w14:textId="77777777" w:rsidR="00F21173" w:rsidRPr="00B075BC" w:rsidRDefault="00F21173" w:rsidP="00F21173">
      <w:pPr>
        <w:contextualSpacing/>
        <w:jc w:val="both"/>
        <w:rPr>
          <w:b/>
          <w:i/>
          <w:color w:val="000000"/>
          <w:lang w:val="en-GB"/>
        </w:rPr>
      </w:pPr>
      <w:r w:rsidRPr="00B075BC">
        <w:rPr>
          <w:b/>
          <w:i/>
          <w:color w:val="000000"/>
          <w:lang w:val="en-GB"/>
        </w:rPr>
        <w:t>Mandatory report structure</w:t>
      </w:r>
    </w:p>
    <w:p w14:paraId="0F694D86" w14:textId="77777777" w:rsidR="00F21173" w:rsidRPr="00B075BC" w:rsidRDefault="00F21173" w:rsidP="00F21173">
      <w:pPr>
        <w:contextualSpacing/>
        <w:jc w:val="both"/>
        <w:rPr>
          <w:b/>
          <w:i/>
          <w:color w:val="000000"/>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0"/>
        <w:gridCol w:w="4917"/>
        <w:gridCol w:w="923"/>
        <w:gridCol w:w="2159"/>
      </w:tblGrid>
      <w:tr w:rsidR="00F21173" w:rsidRPr="00B075BC" w14:paraId="19D4A6EF" w14:textId="77777777">
        <w:trPr>
          <w:tblHeader/>
        </w:trPr>
        <w:tc>
          <w:tcPr>
            <w:tcW w:w="999" w:type="dxa"/>
            <w:shd w:val="clear" w:color="auto" w:fill="D9D9D9"/>
          </w:tcPr>
          <w:p w14:paraId="55CFC7F9" w14:textId="77777777" w:rsidR="00F21173" w:rsidRPr="00B075BC" w:rsidRDefault="00F21173">
            <w:pPr>
              <w:contextualSpacing/>
              <w:jc w:val="both"/>
              <w:rPr>
                <w:b/>
                <w:color w:val="000000"/>
                <w:lang w:val="en-GB"/>
              </w:rPr>
            </w:pPr>
            <w:r w:rsidRPr="00B075BC">
              <w:rPr>
                <w:b/>
                <w:color w:val="000000"/>
                <w:lang w:val="en-GB"/>
              </w:rPr>
              <w:t>Chapter</w:t>
            </w:r>
          </w:p>
        </w:tc>
        <w:tc>
          <w:tcPr>
            <w:tcW w:w="5238" w:type="dxa"/>
            <w:shd w:val="clear" w:color="auto" w:fill="D9D9D9"/>
          </w:tcPr>
          <w:p w14:paraId="1F378170" w14:textId="77777777" w:rsidR="00F21173" w:rsidRPr="00B075BC" w:rsidRDefault="00F21173">
            <w:pPr>
              <w:contextualSpacing/>
              <w:jc w:val="both"/>
              <w:rPr>
                <w:b/>
                <w:color w:val="000000"/>
                <w:lang w:val="en-GB"/>
              </w:rPr>
            </w:pPr>
            <w:r w:rsidRPr="00B075BC">
              <w:rPr>
                <w:b/>
                <w:color w:val="000000"/>
                <w:lang w:val="en-GB"/>
              </w:rPr>
              <w:t>Topic</w:t>
            </w:r>
          </w:p>
        </w:tc>
        <w:tc>
          <w:tcPr>
            <w:tcW w:w="864" w:type="dxa"/>
            <w:shd w:val="clear" w:color="auto" w:fill="D9D9D9"/>
          </w:tcPr>
          <w:p w14:paraId="2F6D6155" w14:textId="77777777" w:rsidR="00F21173" w:rsidRPr="00B075BC" w:rsidRDefault="00F21173">
            <w:pPr>
              <w:contextualSpacing/>
              <w:jc w:val="both"/>
              <w:rPr>
                <w:b/>
                <w:color w:val="000000"/>
                <w:lang w:val="en-GB"/>
              </w:rPr>
            </w:pPr>
            <w:r w:rsidRPr="00B075BC">
              <w:rPr>
                <w:b/>
                <w:color w:val="000000"/>
                <w:lang w:val="en-GB"/>
              </w:rPr>
              <w:t>Pages*</w:t>
            </w:r>
          </w:p>
        </w:tc>
        <w:tc>
          <w:tcPr>
            <w:tcW w:w="2255" w:type="dxa"/>
            <w:shd w:val="clear" w:color="auto" w:fill="D9D9D9"/>
          </w:tcPr>
          <w:p w14:paraId="123BC3D6" w14:textId="77777777" w:rsidR="00F21173" w:rsidRPr="00B075BC" w:rsidRDefault="00F21173">
            <w:pPr>
              <w:contextualSpacing/>
              <w:jc w:val="both"/>
              <w:rPr>
                <w:b/>
                <w:color w:val="000000"/>
                <w:lang w:val="en-GB"/>
              </w:rPr>
            </w:pPr>
            <w:r w:rsidRPr="00B075BC">
              <w:rPr>
                <w:b/>
                <w:color w:val="000000"/>
                <w:lang w:val="en-GB"/>
              </w:rPr>
              <w:t>Remark</w:t>
            </w:r>
          </w:p>
        </w:tc>
      </w:tr>
      <w:tr w:rsidR="00F21173" w:rsidRPr="00B075BC" w14:paraId="41191478" w14:textId="77777777">
        <w:tc>
          <w:tcPr>
            <w:tcW w:w="999" w:type="dxa"/>
          </w:tcPr>
          <w:p w14:paraId="0E14EF86" w14:textId="77777777" w:rsidR="00F21173" w:rsidRPr="00B075BC" w:rsidRDefault="00F21173">
            <w:pPr>
              <w:contextualSpacing/>
              <w:jc w:val="both"/>
              <w:rPr>
                <w:color w:val="000000"/>
                <w:lang w:val="en-GB"/>
              </w:rPr>
            </w:pPr>
          </w:p>
        </w:tc>
        <w:tc>
          <w:tcPr>
            <w:tcW w:w="5238" w:type="dxa"/>
          </w:tcPr>
          <w:p w14:paraId="5435B335" w14:textId="77777777" w:rsidR="00F21173" w:rsidRPr="00B075BC" w:rsidRDefault="00F21173">
            <w:pPr>
              <w:contextualSpacing/>
              <w:rPr>
                <w:color w:val="000000"/>
                <w:lang w:val="en-GB"/>
              </w:rPr>
            </w:pPr>
            <w:r w:rsidRPr="00B075BC">
              <w:rPr>
                <w:color w:val="000000"/>
                <w:lang w:val="en-GB"/>
              </w:rPr>
              <w:t>Cover page (including 1 picture from field level work)</w:t>
            </w:r>
          </w:p>
        </w:tc>
        <w:tc>
          <w:tcPr>
            <w:tcW w:w="864" w:type="dxa"/>
          </w:tcPr>
          <w:p w14:paraId="2B28D5B1" w14:textId="77777777" w:rsidR="00F21173" w:rsidRPr="00B075BC" w:rsidRDefault="00F21173">
            <w:pPr>
              <w:contextualSpacing/>
              <w:jc w:val="both"/>
              <w:rPr>
                <w:color w:val="000000"/>
                <w:lang w:val="en-GB"/>
              </w:rPr>
            </w:pPr>
            <w:r w:rsidRPr="00B075BC">
              <w:rPr>
                <w:color w:val="000000"/>
                <w:lang w:val="en-GB"/>
              </w:rPr>
              <w:t>1</w:t>
            </w:r>
          </w:p>
        </w:tc>
        <w:tc>
          <w:tcPr>
            <w:tcW w:w="2255" w:type="dxa"/>
            <w:vMerge w:val="restart"/>
          </w:tcPr>
          <w:p w14:paraId="589AAE2F" w14:textId="1E76AC15" w:rsidR="00F21173" w:rsidRPr="00B075BC" w:rsidRDefault="00F21173">
            <w:pPr>
              <w:contextualSpacing/>
              <w:rPr>
                <w:color w:val="000000"/>
                <w:lang w:val="en-GB"/>
              </w:rPr>
            </w:pPr>
            <w:r w:rsidRPr="00B075BC">
              <w:rPr>
                <w:color w:val="000000"/>
                <w:lang w:val="en-GB"/>
              </w:rPr>
              <w:t xml:space="preserve">This part is not counted </w:t>
            </w:r>
            <w:r w:rsidR="00153F95">
              <w:rPr>
                <w:color w:val="000000"/>
                <w:lang w:val="en-GB"/>
              </w:rPr>
              <w:t>towards the</w:t>
            </w:r>
            <w:r w:rsidRPr="00B075BC">
              <w:rPr>
                <w:color w:val="000000"/>
                <w:lang w:val="en-GB"/>
              </w:rPr>
              <w:t xml:space="preserve"> overall maximum length of 30 pages for the report.</w:t>
            </w:r>
          </w:p>
        </w:tc>
      </w:tr>
      <w:tr w:rsidR="00F21173" w:rsidRPr="00B075BC" w14:paraId="6255A793" w14:textId="77777777">
        <w:tc>
          <w:tcPr>
            <w:tcW w:w="999" w:type="dxa"/>
          </w:tcPr>
          <w:p w14:paraId="7A331FCC" w14:textId="77777777" w:rsidR="00F21173" w:rsidRPr="00B075BC" w:rsidRDefault="00F21173">
            <w:pPr>
              <w:contextualSpacing/>
              <w:jc w:val="both"/>
              <w:rPr>
                <w:color w:val="000000"/>
                <w:lang w:val="en-GB"/>
              </w:rPr>
            </w:pPr>
          </w:p>
        </w:tc>
        <w:tc>
          <w:tcPr>
            <w:tcW w:w="5238" w:type="dxa"/>
          </w:tcPr>
          <w:p w14:paraId="1657DE02" w14:textId="77777777" w:rsidR="00F21173" w:rsidRPr="00B075BC" w:rsidRDefault="00F21173">
            <w:pPr>
              <w:contextualSpacing/>
              <w:rPr>
                <w:color w:val="000000"/>
                <w:lang w:val="en-GB"/>
              </w:rPr>
            </w:pPr>
            <w:r w:rsidRPr="00B075BC">
              <w:rPr>
                <w:color w:val="000000"/>
                <w:lang w:val="en-GB"/>
              </w:rPr>
              <w:t>Table of content</w:t>
            </w:r>
          </w:p>
        </w:tc>
        <w:tc>
          <w:tcPr>
            <w:tcW w:w="864" w:type="dxa"/>
          </w:tcPr>
          <w:p w14:paraId="43ECA0CF" w14:textId="77777777" w:rsidR="00F21173" w:rsidRPr="00B075BC" w:rsidRDefault="00F21173">
            <w:pPr>
              <w:contextualSpacing/>
              <w:jc w:val="both"/>
              <w:rPr>
                <w:color w:val="000000"/>
                <w:lang w:val="en-GB"/>
              </w:rPr>
            </w:pPr>
            <w:r w:rsidRPr="00B075BC">
              <w:rPr>
                <w:color w:val="000000"/>
                <w:lang w:val="en-GB"/>
              </w:rPr>
              <w:t>1</w:t>
            </w:r>
          </w:p>
        </w:tc>
        <w:tc>
          <w:tcPr>
            <w:tcW w:w="2255" w:type="dxa"/>
            <w:vMerge/>
          </w:tcPr>
          <w:p w14:paraId="67E1F3DF" w14:textId="77777777" w:rsidR="00F21173" w:rsidRPr="00B075BC" w:rsidRDefault="00F21173">
            <w:pPr>
              <w:contextualSpacing/>
              <w:rPr>
                <w:color w:val="000000"/>
                <w:lang w:val="en-GB"/>
              </w:rPr>
            </w:pPr>
          </w:p>
        </w:tc>
      </w:tr>
      <w:tr w:rsidR="00F21173" w:rsidRPr="00B075BC" w14:paraId="453B3935" w14:textId="77777777">
        <w:tc>
          <w:tcPr>
            <w:tcW w:w="999" w:type="dxa"/>
          </w:tcPr>
          <w:p w14:paraId="0B0A8C05" w14:textId="77777777" w:rsidR="00F21173" w:rsidRPr="00B075BC" w:rsidRDefault="00F21173">
            <w:pPr>
              <w:contextualSpacing/>
              <w:jc w:val="both"/>
              <w:rPr>
                <w:color w:val="000000"/>
                <w:lang w:val="en-GB"/>
              </w:rPr>
            </w:pPr>
          </w:p>
        </w:tc>
        <w:tc>
          <w:tcPr>
            <w:tcW w:w="5238" w:type="dxa"/>
          </w:tcPr>
          <w:p w14:paraId="2EAA5896" w14:textId="77777777" w:rsidR="00F21173" w:rsidRPr="00B075BC" w:rsidRDefault="00F21173">
            <w:pPr>
              <w:contextualSpacing/>
              <w:rPr>
                <w:color w:val="000000"/>
                <w:lang w:val="en-GB"/>
              </w:rPr>
            </w:pPr>
            <w:r w:rsidRPr="00B075BC">
              <w:rPr>
                <w:color w:val="000000"/>
                <w:lang w:val="en-GB"/>
              </w:rPr>
              <w:t>List of abbreviations</w:t>
            </w:r>
          </w:p>
        </w:tc>
        <w:tc>
          <w:tcPr>
            <w:tcW w:w="864" w:type="dxa"/>
          </w:tcPr>
          <w:p w14:paraId="581531E1" w14:textId="77777777" w:rsidR="00F21173" w:rsidRPr="00B075BC" w:rsidRDefault="00F21173">
            <w:pPr>
              <w:contextualSpacing/>
              <w:jc w:val="both"/>
              <w:rPr>
                <w:color w:val="000000"/>
                <w:lang w:val="en-GB"/>
              </w:rPr>
            </w:pPr>
            <w:r w:rsidRPr="00B075BC">
              <w:rPr>
                <w:color w:val="000000"/>
                <w:lang w:val="en-GB"/>
              </w:rPr>
              <w:t>1</w:t>
            </w:r>
          </w:p>
        </w:tc>
        <w:tc>
          <w:tcPr>
            <w:tcW w:w="2255" w:type="dxa"/>
            <w:vMerge/>
          </w:tcPr>
          <w:p w14:paraId="40277834" w14:textId="77777777" w:rsidR="00F21173" w:rsidRPr="00B075BC" w:rsidRDefault="00F21173">
            <w:pPr>
              <w:contextualSpacing/>
              <w:rPr>
                <w:color w:val="000000"/>
                <w:lang w:val="en-GB"/>
              </w:rPr>
            </w:pPr>
          </w:p>
        </w:tc>
      </w:tr>
      <w:tr w:rsidR="00F21173" w:rsidRPr="00B075BC" w14:paraId="6D203985" w14:textId="77777777">
        <w:tc>
          <w:tcPr>
            <w:tcW w:w="999" w:type="dxa"/>
          </w:tcPr>
          <w:p w14:paraId="0C0E89B0" w14:textId="77777777" w:rsidR="00F21173" w:rsidRPr="00B075BC" w:rsidRDefault="00F21173">
            <w:pPr>
              <w:contextualSpacing/>
              <w:jc w:val="both"/>
              <w:rPr>
                <w:color w:val="000000"/>
                <w:lang w:val="en-GB"/>
              </w:rPr>
            </w:pPr>
            <w:r w:rsidRPr="00B075BC">
              <w:rPr>
                <w:color w:val="000000"/>
                <w:lang w:val="en-GB"/>
              </w:rPr>
              <w:t>1.</w:t>
            </w:r>
          </w:p>
        </w:tc>
        <w:tc>
          <w:tcPr>
            <w:tcW w:w="5238" w:type="dxa"/>
          </w:tcPr>
          <w:p w14:paraId="24C4D9D7" w14:textId="77777777" w:rsidR="00F21173" w:rsidRPr="00B075BC" w:rsidRDefault="00F21173">
            <w:pPr>
              <w:contextualSpacing/>
              <w:rPr>
                <w:color w:val="000000"/>
                <w:lang w:val="en-GB"/>
              </w:rPr>
            </w:pPr>
            <w:r w:rsidRPr="00B075BC">
              <w:rPr>
                <w:color w:val="000000"/>
                <w:lang w:val="en-GB"/>
              </w:rPr>
              <w:t>Executive summary</w:t>
            </w:r>
          </w:p>
        </w:tc>
        <w:tc>
          <w:tcPr>
            <w:tcW w:w="864" w:type="dxa"/>
          </w:tcPr>
          <w:p w14:paraId="2EE5C9B9" w14:textId="77777777" w:rsidR="00F21173" w:rsidRPr="00B075BC" w:rsidRDefault="00F21173">
            <w:pPr>
              <w:contextualSpacing/>
              <w:jc w:val="both"/>
              <w:rPr>
                <w:color w:val="000000"/>
                <w:lang w:val="en-GB"/>
              </w:rPr>
            </w:pPr>
            <w:r w:rsidRPr="00B075BC">
              <w:rPr>
                <w:color w:val="000000"/>
                <w:lang w:val="en-GB"/>
              </w:rPr>
              <w:t>1</w:t>
            </w:r>
          </w:p>
        </w:tc>
        <w:tc>
          <w:tcPr>
            <w:tcW w:w="2255" w:type="dxa"/>
          </w:tcPr>
          <w:p w14:paraId="40789606" w14:textId="77777777" w:rsidR="00F21173" w:rsidRPr="00B075BC" w:rsidRDefault="00F21173">
            <w:pPr>
              <w:contextualSpacing/>
              <w:rPr>
                <w:color w:val="000000"/>
                <w:lang w:val="en-GB"/>
              </w:rPr>
            </w:pPr>
          </w:p>
        </w:tc>
      </w:tr>
      <w:tr w:rsidR="00F21173" w:rsidRPr="00B075BC" w14:paraId="7CF13CE4" w14:textId="77777777">
        <w:tc>
          <w:tcPr>
            <w:tcW w:w="999" w:type="dxa"/>
          </w:tcPr>
          <w:p w14:paraId="084B9F40" w14:textId="77777777" w:rsidR="00F21173" w:rsidRPr="00B075BC" w:rsidRDefault="00F21173">
            <w:pPr>
              <w:contextualSpacing/>
              <w:jc w:val="both"/>
              <w:rPr>
                <w:color w:val="000000"/>
                <w:lang w:val="en-GB"/>
              </w:rPr>
            </w:pPr>
            <w:r w:rsidRPr="00B075BC">
              <w:rPr>
                <w:color w:val="000000"/>
                <w:lang w:val="en-GB"/>
              </w:rPr>
              <w:t>2.</w:t>
            </w:r>
          </w:p>
        </w:tc>
        <w:tc>
          <w:tcPr>
            <w:tcW w:w="5238" w:type="dxa"/>
          </w:tcPr>
          <w:p w14:paraId="58291E82" w14:textId="77777777" w:rsidR="00F21173" w:rsidRPr="00B075BC" w:rsidRDefault="00F21173">
            <w:pPr>
              <w:contextualSpacing/>
              <w:rPr>
                <w:color w:val="000000"/>
                <w:lang w:val="en-GB"/>
              </w:rPr>
            </w:pPr>
            <w:r w:rsidRPr="00B075BC">
              <w:rPr>
                <w:color w:val="000000"/>
                <w:lang w:val="en-GB"/>
              </w:rPr>
              <w:t>Purpose, objectives and utilisation of study</w:t>
            </w:r>
          </w:p>
        </w:tc>
        <w:tc>
          <w:tcPr>
            <w:tcW w:w="864" w:type="dxa"/>
          </w:tcPr>
          <w:p w14:paraId="3C844D46" w14:textId="77777777" w:rsidR="00F21173" w:rsidRPr="00B075BC" w:rsidRDefault="00F21173">
            <w:pPr>
              <w:contextualSpacing/>
              <w:jc w:val="both"/>
              <w:rPr>
                <w:color w:val="000000"/>
                <w:lang w:val="en-GB"/>
              </w:rPr>
            </w:pPr>
            <w:r w:rsidRPr="00B075BC">
              <w:rPr>
                <w:color w:val="000000"/>
                <w:lang w:val="en-GB"/>
              </w:rPr>
              <w:t>2-3</w:t>
            </w:r>
          </w:p>
        </w:tc>
        <w:tc>
          <w:tcPr>
            <w:tcW w:w="2255" w:type="dxa"/>
            <w:vMerge w:val="restart"/>
          </w:tcPr>
          <w:p w14:paraId="3A954D6C" w14:textId="77777777" w:rsidR="00F21173" w:rsidRPr="00B075BC" w:rsidRDefault="00F21173">
            <w:pPr>
              <w:contextualSpacing/>
              <w:rPr>
                <w:color w:val="000000"/>
                <w:lang w:val="en-GB"/>
              </w:rPr>
            </w:pPr>
          </w:p>
          <w:p w14:paraId="0CC7FDA8" w14:textId="77777777" w:rsidR="00F21173" w:rsidRPr="00B075BC" w:rsidRDefault="00F21173">
            <w:pPr>
              <w:contextualSpacing/>
              <w:rPr>
                <w:color w:val="000000"/>
                <w:lang w:val="en-GB"/>
              </w:rPr>
            </w:pPr>
          </w:p>
          <w:p w14:paraId="6F5ACC34" w14:textId="77777777" w:rsidR="00F21173" w:rsidRPr="00B075BC" w:rsidRDefault="00F21173">
            <w:pPr>
              <w:contextualSpacing/>
              <w:rPr>
                <w:color w:val="000000"/>
                <w:lang w:val="en-GB"/>
              </w:rPr>
            </w:pPr>
          </w:p>
          <w:p w14:paraId="0958CD3F" w14:textId="77777777" w:rsidR="00F21173" w:rsidRPr="00B075BC" w:rsidRDefault="00F21173">
            <w:pPr>
              <w:contextualSpacing/>
              <w:rPr>
                <w:color w:val="000000"/>
                <w:lang w:val="en-GB"/>
              </w:rPr>
            </w:pPr>
          </w:p>
          <w:p w14:paraId="2EC6A229" w14:textId="77777777" w:rsidR="00F21173" w:rsidRPr="00B075BC" w:rsidRDefault="00F21173">
            <w:pPr>
              <w:contextualSpacing/>
              <w:rPr>
                <w:color w:val="000000"/>
                <w:lang w:val="en-GB"/>
              </w:rPr>
            </w:pPr>
          </w:p>
          <w:p w14:paraId="1547C22F" w14:textId="77777777" w:rsidR="00F21173" w:rsidRPr="00C4014A" w:rsidRDefault="00F21173">
            <w:pPr>
              <w:contextualSpacing/>
              <w:rPr>
                <w:bCs/>
                <w:color w:val="000000"/>
                <w:lang w:val="en-GB"/>
              </w:rPr>
            </w:pPr>
            <w:r w:rsidRPr="00C4014A">
              <w:rPr>
                <w:bCs/>
                <w:color w:val="000000"/>
                <w:lang w:val="en-GB"/>
              </w:rPr>
              <w:t>Mandatory guiding questions for these chapters will be provided to the selected consultant as Annex 1.</w:t>
            </w:r>
          </w:p>
        </w:tc>
      </w:tr>
      <w:tr w:rsidR="00F21173" w:rsidRPr="00B075BC" w14:paraId="523BC3DB" w14:textId="77777777">
        <w:tc>
          <w:tcPr>
            <w:tcW w:w="999" w:type="dxa"/>
          </w:tcPr>
          <w:p w14:paraId="4DBA0365" w14:textId="77777777" w:rsidR="00F21173" w:rsidRPr="00B075BC" w:rsidRDefault="00F21173">
            <w:pPr>
              <w:contextualSpacing/>
              <w:jc w:val="both"/>
              <w:rPr>
                <w:color w:val="000000"/>
                <w:lang w:val="en-GB"/>
              </w:rPr>
            </w:pPr>
            <w:r w:rsidRPr="00B075BC">
              <w:rPr>
                <w:color w:val="000000"/>
                <w:lang w:val="en-GB"/>
              </w:rPr>
              <w:t>3.</w:t>
            </w:r>
          </w:p>
        </w:tc>
        <w:tc>
          <w:tcPr>
            <w:tcW w:w="5238" w:type="dxa"/>
          </w:tcPr>
          <w:p w14:paraId="74210A3D" w14:textId="77777777" w:rsidR="00F21173" w:rsidRPr="00B075BC" w:rsidRDefault="00F21173">
            <w:pPr>
              <w:contextualSpacing/>
              <w:rPr>
                <w:color w:val="000000"/>
                <w:lang w:val="en-GB"/>
              </w:rPr>
            </w:pPr>
            <w:r w:rsidRPr="00B075BC">
              <w:rPr>
                <w:color w:val="000000"/>
                <w:lang w:val="en-GB"/>
              </w:rPr>
              <w:t>Context and problem analysis</w:t>
            </w:r>
          </w:p>
        </w:tc>
        <w:tc>
          <w:tcPr>
            <w:tcW w:w="864" w:type="dxa"/>
          </w:tcPr>
          <w:p w14:paraId="3292AA1E" w14:textId="77777777" w:rsidR="00F21173" w:rsidRPr="00B075BC" w:rsidRDefault="00F21173">
            <w:pPr>
              <w:contextualSpacing/>
              <w:jc w:val="both"/>
              <w:rPr>
                <w:color w:val="000000"/>
                <w:lang w:val="en-GB"/>
              </w:rPr>
            </w:pPr>
            <w:r w:rsidRPr="00B075BC">
              <w:rPr>
                <w:color w:val="000000"/>
                <w:lang w:val="en-GB"/>
              </w:rPr>
              <w:t>5-6</w:t>
            </w:r>
          </w:p>
        </w:tc>
        <w:tc>
          <w:tcPr>
            <w:tcW w:w="2255" w:type="dxa"/>
            <w:vMerge/>
          </w:tcPr>
          <w:p w14:paraId="3F95005D" w14:textId="77777777" w:rsidR="00F21173" w:rsidRPr="00B075BC" w:rsidRDefault="00F21173">
            <w:pPr>
              <w:contextualSpacing/>
              <w:rPr>
                <w:color w:val="000000"/>
                <w:lang w:val="en-GB"/>
              </w:rPr>
            </w:pPr>
          </w:p>
        </w:tc>
      </w:tr>
      <w:tr w:rsidR="00F21173" w:rsidRPr="00B075BC" w14:paraId="4AC7DE34" w14:textId="77777777">
        <w:tc>
          <w:tcPr>
            <w:tcW w:w="999" w:type="dxa"/>
          </w:tcPr>
          <w:p w14:paraId="59D57AC1" w14:textId="77777777" w:rsidR="00F21173" w:rsidRPr="00B075BC" w:rsidRDefault="00F21173">
            <w:pPr>
              <w:contextualSpacing/>
              <w:jc w:val="both"/>
              <w:rPr>
                <w:color w:val="000000"/>
                <w:lang w:val="en-GB"/>
              </w:rPr>
            </w:pPr>
            <w:r w:rsidRPr="00B075BC">
              <w:rPr>
                <w:color w:val="000000"/>
                <w:lang w:val="en-GB"/>
              </w:rPr>
              <w:t>4.</w:t>
            </w:r>
          </w:p>
        </w:tc>
        <w:tc>
          <w:tcPr>
            <w:tcW w:w="5238" w:type="dxa"/>
          </w:tcPr>
          <w:p w14:paraId="6DD321EA" w14:textId="39C42601" w:rsidR="00F21173" w:rsidRPr="00B075BC" w:rsidRDefault="00F21173">
            <w:pPr>
              <w:contextualSpacing/>
              <w:rPr>
                <w:color w:val="000000"/>
                <w:lang w:val="en-GB"/>
              </w:rPr>
            </w:pPr>
            <w:r w:rsidRPr="00B075BC">
              <w:rPr>
                <w:color w:val="000000"/>
                <w:lang w:val="en-GB"/>
              </w:rPr>
              <w:t>Programme-executing organisations in Bangladesh</w:t>
            </w:r>
            <w:r w:rsidR="009B067B">
              <w:rPr>
                <w:color w:val="000000"/>
                <w:lang w:val="en-GB"/>
              </w:rPr>
              <w:t xml:space="preserve"> and</w:t>
            </w:r>
            <w:r w:rsidRPr="00B075BC">
              <w:rPr>
                <w:color w:val="000000"/>
                <w:lang w:val="en-GB"/>
              </w:rPr>
              <w:t xml:space="preserve"> India</w:t>
            </w:r>
          </w:p>
        </w:tc>
        <w:tc>
          <w:tcPr>
            <w:tcW w:w="864" w:type="dxa"/>
          </w:tcPr>
          <w:p w14:paraId="57C90C1C" w14:textId="77777777" w:rsidR="00F21173" w:rsidRPr="00B075BC" w:rsidRDefault="00F21173">
            <w:pPr>
              <w:contextualSpacing/>
              <w:jc w:val="both"/>
              <w:rPr>
                <w:color w:val="000000"/>
                <w:lang w:val="en-GB"/>
              </w:rPr>
            </w:pPr>
            <w:r w:rsidRPr="00B075BC">
              <w:rPr>
                <w:color w:val="000000"/>
                <w:lang w:val="en-GB"/>
              </w:rPr>
              <w:t>2-3</w:t>
            </w:r>
          </w:p>
        </w:tc>
        <w:tc>
          <w:tcPr>
            <w:tcW w:w="2255" w:type="dxa"/>
            <w:vMerge/>
          </w:tcPr>
          <w:p w14:paraId="56E282FC" w14:textId="77777777" w:rsidR="00F21173" w:rsidRPr="00B075BC" w:rsidRDefault="00F21173">
            <w:pPr>
              <w:contextualSpacing/>
              <w:rPr>
                <w:color w:val="000000"/>
                <w:lang w:val="en-GB"/>
              </w:rPr>
            </w:pPr>
          </w:p>
        </w:tc>
      </w:tr>
      <w:tr w:rsidR="00F21173" w:rsidRPr="00B075BC" w14:paraId="1F31B804" w14:textId="77777777">
        <w:tc>
          <w:tcPr>
            <w:tcW w:w="999" w:type="dxa"/>
          </w:tcPr>
          <w:p w14:paraId="70A456DE" w14:textId="77777777" w:rsidR="00F21173" w:rsidRPr="00B075BC" w:rsidRDefault="00F21173">
            <w:pPr>
              <w:contextualSpacing/>
              <w:jc w:val="both"/>
              <w:rPr>
                <w:color w:val="000000"/>
                <w:lang w:val="en-GB"/>
              </w:rPr>
            </w:pPr>
            <w:r w:rsidRPr="00B075BC">
              <w:rPr>
                <w:color w:val="000000"/>
                <w:lang w:val="en-GB"/>
              </w:rPr>
              <w:t>5.</w:t>
            </w:r>
          </w:p>
        </w:tc>
        <w:tc>
          <w:tcPr>
            <w:tcW w:w="5238" w:type="dxa"/>
          </w:tcPr>
          <w:p w14:paraId="6BA564A7" w14:textId="77777777" w:rsidR="00F21173" w:rsidRPr="00B075BC" w:rsidRDefault="00F21173">
            <w:pPr>
              <w:contextualSpacing/>
              <w:rPr>
                <w:color w:val="000000"/>
                <w:lang w:val="en-GB"/>
              </w:rPr>
            </w:pPr>
            <w:r w:rsidRPr="00B075BC">
              <w:rPr>
                <w:color w:val="000000"/>
                <w:lang w:val="en-GB"/>
              </w:rPr>
              <w:t>Target group and stakeholder analysis</w:t>
            </w:r>
          </w:p>
        </w:tc>
        <w:tc>
          <w:tcPr>
            <w:tcW w:w="864" w:type="dxa"/>
            <w:vMerge w:val="restart"/>
          </w:tcPr>
          <w:p w14:paraId="43134AFC" w14:textId="77777777" w:rsidR="00F21173" w:rsidRPr="00B075BC" w:rsidRDefault="00F21173">
            <w:pPr>
              <w:contextualSpacing/>
              <w:jc w:val="both"/>
              <w:rPr>
                <w:color w:val="000000"/>
                <w:lang w:val="en-GB"/>
              </w:rPr>
            </w:pPr>
            <w:r w:rsidRPr="00B075BC">
              <w:rPr>
                <w:color w:val="000000"/>
                <w:lang w:val="en-GB"/>
              </w:rPr>
              <w:t>3-4</w:t>
            </w:r>
          </w:p>
        </w:tc>
        <w:tc>
          <w:tcPr>
            <w:tcW w:w="2255" w:type="dxa"/>
            <w:vMerge/>
          </w:tcPr>
          <w:p w14:paraId="56308A2D" w14:textId="77777777" w:rsidR="00F21173" w:rsidRPr="00B075BC" w:rsidRDefault="00F21173">
            <w:pPr>
              <w:contextualSpacing/>
              <w:rPr>
                <w:color w:val="000000"/>
                <w:lang w:val="en-GB"/>
              </w:rPr>
            </w:pPr>
          </w:p>
        </w:tc>
      </w:tr>
      <w:tr w:rsidR="00F21173" w:rsidRPr="00B075BC" w14:paraId="4C2AFF28" w14:textId="77777777">
        <w:tc>
          <w:tcPr>
            <w:tcW w:w="999" w:type="dxa"/>
          </w:tcPr>
          <w:p w14:paraId="516D38DC" w14:textId="77777777" w:rsidR="00F21173" w:rsidRPr="00B075BC" w:rsidRDefault="00F21173">
            <w:pPr>
              <w:contextualSpacing/>
              <w:jc w:val="both"/>
              <w:rPr>
                <w:i/>
                <w:color w:val="000000"/>
                <w:lang w:val="en-GB"/>
              </w:rPr>
            </w:pPr>
            <w:r w:rsidRPr="00B075BC">
              <w:rPr>
                <w:i/>
                <w:color w:val="000000"/>
                <w:lang w:val="en-GB"/>
              </w:rPr>
              <w:t>5.1</w:t>
            </w:r>
          </w:p>
        </w:tc>
        <w:tc>
          <w:tcPr>
            <w:tcW w:w="5238" w:type="dxa"/>
          </w:tcPr>
          <w:p w14:paraId="662B2DBB" w14:textId="77777777" w:rsidR="00F21173" w:rsidRPr="00B075BC" w:rsidRDefault="00F21173">
            <w:pPr>
              <w:contextualSpacing/>
              <w:rPr>
                <w:i/>
                <w:color w:val="000000"/>
                <w:lang w:val="en-GB"/>
              </w:rPr>
            </w:pPr>
            <w:r w:rsidRPr="00B075BC">
              <w:rPr>
                <w:i/>
                <w:color w:val="000000"/>
                <w:lang w:val="en-GB"/>
              </w:rPr>
              <w:t>Target group</w:t>
            </w:r>
          </w:p>
        </w:tc>
        <w:tc>
          <w:tcPr>
            <w:tcW w:w="864" w:type="dxa"/>
            <w:vMerge/>
          </w:tcPr>
          <w:p w14:paraId="218648A9" w14:textId="77777777" w:rsidR="00F21173" w:rsidRPr="00B075BC" w:rsidRDefault="00F21173">
            <w:pPr>
              <w:contextualSpacing/>
              <w:jc w:val="both"/>
              <w:rPr>
                <w:color w:val="000000"/>
                <w:lang w:val="en-GB"/>
              </w:rPr>
            </w:pPr>
          </w:p>
        </w:tc>
        <w:tc>
          <w:tcPr>
            <w:tcW w:w="2255" w:type="dxa"/>
            <w:vMerge/>
          </w:tcPr>
          <w:p w14:paraId="379E3A2F" w14:textId="77777777" w:rsidR="00F21173" w:rsidRPr="00B075BC" w:rsidRDefault="00F21173">
            <w:pPr>
              <w:contextualSpacing/>
              <w:rPr>
                <w:color w:val="000000"/>
                <w:lang w:val="en-GB"/>
              </w:rPr>
            </w:pPr>
          </w:p>
        </w:tc>
      </w:tr>
      <w:tr w:rsidR="00F21173" w:rsidRPr="00B075BC" w14:paraId="47732359" w14:textId="77777777">
        <w:tc>
          <w:tcPr>
            <w:tcW w:w="999" w:type="dxa"/>
          </w:tcPr>
          <w:p w14:paraId="288B7275" w14:textId="77777777" w:rsidR="00F21173" w:rsidRPr="00B075BC" w:rsidRDefault="00F21173">
            <w:pPr>
              <w:contextualSpacing/>
              <w:jc w:val="both"/>
              <w:rPr>
                <w:i/>
                <w:color w:val="000000"/>
                <w:lang w:val="en-GB"/>
              </w:rPr>
            </w:pPr>
            <w:r w:rsidRPr="00B075BC">
              <w:rPr>
                <w:i/>
                <w:color w:val="000000"/>
                <w:lang w:val="en-GB"/>
              </w:rPr>
              <w:t>5.2</w:t>
            </w:r>
          </w:p>
        </w:tc>
        <w:tc>
          <w:tcPr>
            <w:tcW w:w="5238" w:type="dxa"/>
          </w:tcPr>
          <w:p w14:paraId="08B2AC94" w14:textId="77777777" w:rsidR="00F21173" w:rsidRPr="00B075BC" w:rsidRDefault="00F21173">
            <w:pPr>
              <w:contextualSpacing/>
              <w:rPr>
                <w:i/>
                <w:color w:val="000000"/>
                <w:lang w:val="en-GB"/>
              </w:rPr>
            </w:pPr>
            <w:r w:rsidRPr="00B075BC">
              <w:rPr>
                <w:i/>
                <w:color w:val="000000"/>
                <w:lang w:val="en-GB"/>
              </w:rPr>
              <w:t>Stakeholder</w:t>
            </w:r>
          </w:p>
        </w:tc>
        <w:tc>
          <w:tcPr>
            <w:tcW w:w="864" w:type="dxa"/>
            <w:vMerge/>
          </w:tcPr>
          <w:p w14:paraId="49935479" w14:textId="77777777" w:rsidR="00F21173" w:rsidRPr="00B075BC" w:rsidRDefault="00F21173">
            <w:pPr>
              <w:contextualSpacing/>
              <w:jc w:val="both"/>
              <w:rPr>
                <w:color w:val="000000"/>
                <w:lang w:val="en-GB"/>
              </w:rPr>
            </w:pPr>
          </w:p>
        </w:tc>
        <w:tc>
          <w:tcPr>
            <w:tcW w:w="2255" w:type="dxa"/>
            <w:vMerge/>
          </w:tcPr>
          <w:p w14:paraId="341C9454" w14:textId="77777777" w:rsidR="00F21173" w:rsidRPr="00B075BC" w:rsidRDefault="00F21173">
            <w:pPr>
              <w:contextualSpacing/>
              <w:rPr>
                <w:color w:val="000000"/>
                <w:lang w:val="en-GB"/>
              </w:rPr>
            </w:pPr>
          </w:p>
        </w:tc>
      </w:tr>
      <w:tr w:rsidR="00F21173" w:rsidRPr="00B075BC" w14:paraId="1BA2ED7E" w14:textId="77777777">
        <w:tc>
          <w:tcPr>
            <w:tcW w:w="999" w:type="dxa"/>
          </w:tcPr>
          <w:p w14:paraId="271FD617" w14:textId="77777777" w:rsidR="00F21173" w:rsidRPr="00B075BC" w:rsidRDefault="00F21173">
            <w:pPr>
              <w:contextualSpacing/>
              <w:jc w:val="both"/>
              <w:rPr>
                <w:color w:val="000000"/>
                <w:lang w:val="en-GB"/>
              </w:rPr>
            </w:pPr>
            <w:r w:rsidRPr="00B075BC">
              <w:rPr>
                <w:color w:val="000000"/>
                <w:lang w:val="en-GB"/>
              </w:rPr>
              <w:t>6.</w:t>
            </w:r>
          </w:p>
        </w:tc>
        <w:tc>
          <w:tcPr>
            <w:tcW w:w="5238" w:type="dxa"/>
          </w:tcPr>
          <w:p w14:paraId="0B64F225" w14:textId="77777777" w:rsidR="00F21173" w:rsidRPr="00B075BC" w:rsidRDefault="00F21173">
            <w:pPr>
              <w:contextualSpacing/>
              <w:rPr>
                <w:color w:val="000000"/>
                <w:lang w:val="en-GB"/>
              </w:rPr>
            </w:pPr>
            <w:r w:rsidRPr="00B075BC">
              <w:rPr>
                <w:color w:val="000000"/>
                <w:lang w:val="en-GB"/>
              </w:rPr>
              <w:t>Assessment of the planned programme according to DAC criteria</w:t>
            </w:r>
          </w:p>
        </w:tc>
        <w:tc>
          <w:tcPr>
            <w:tcW w:w="864" w:type="dxa"/>
            <w:vMerge w:val="restart"/>
          </w:tcPr>
          <w:p w14:paraId="3AAA3B5A" w14:textId="77777777" w:rsidR="00F21173" w:rsidRPr="00B075BC" w:rsidRDefault="00F21173">
            <w:pPr>
              <w:contextualSpacing/>
              <w:jc w:val="both"/>
              <w:rPr>
                <w:color w:val="000000"/>
                <w:lang w:val="en-GB"/>
              </w:rPr>
            </w:pPr>
            <w:r w:rsidRPr="00B075BC">
              <w:rPr>
                <w:color w:val="000000"/>
                <w:lang w:val="en-GB"/>
              </w:rPr>
              <w:t>13-15</w:t>
            </w:r>
          </w:p>
        </w:tc>
        <w:tc>
          <w:tcPr>
            <w:tcW w:w="2255" w:type="dxa"/>
            <w:vMerge/>
          </w:tcPr>
          <w:p w14:paraId="2FB3B13B" w14:textId="77777777" w:rsidR="00F21173" w:rsidRPr="00B075BC" w:rsidRDefault="00F21173">
            <w:pPr>
              <w:contextualSpacing/>
              <w:rPr>
                <w:color w:val="000000"/>
                <w:lang w:val="en-GB"/>
              </w:rPr>
            </w:pPr>
          </w:p>
        </w:tc>
      </w:tr>
      <w:tr w:rsidR="00F21173" w:rsidRPr="00B075BC" w14:paraId="661638C4" w14:textId="77777777">
        <w:tc>
          <w:tcPr>
            <w:tcW w:w="999" w:type="dxa"/>
          </w:tcPr>
          <w:p w14:paraId="547DB212" w14:textId="77777777" w:rsidR="00F21173" w:rsidRPr="00B075BC" w:rsidRDefault="00F21173">
            <w:pPr>
              <w:contextualSpacing/>
              <w:jc w:val="both"/>
              <w:rPr>
                <w:i/>
                <w:color w:val="000000"/>
                <w:lang w:val="en-GB"/>
              </w:rPr>
            </w:pPr>
            <w:r w:rsidRPr="00B075BC">
              <w:rPr>
                <w:i/>
                <w:color w:val="000000"/>
                <w:lang w:val="en-GB"/>
              </w:rPr>
              <w:t>6.1</w:t>
            </w:r>
          </w:p>
        </w:tc>
        <w:tc>
          <w:tcPr>
            <w:tcW w:w="5238" w:type="dxa"/>
          </w:tcPr>
          <w:p w14:paraId="75253853" w14:textId="77777777" w:rsidR="00F21173" w:rsidRPr="00B075BC" w:rsidRDefault="00F21173">
            <w:pPr>
              <w:contextualSpacing/>
              <w:rPr>
                <w:i/>
                <w:color w:val="000000"/>
                <w:lang w:val="en-GB"/>
              </w:rPr>
            </w:pPr>
            <w:r w:rsidRPr="00B075BC">
              <w:rPr>
                <w:i/>
                <w:color w:val="000000"/>
                <w:lang w:val="en-GB"/>
              </w:rPr>
              <w:t>Relevance</w:t>
            </w:r>
          </w:p>
        </w:tc>
        <w:tc>
          <w:tcPr>
            <w:tcW w:w="864" w:type="dxa"/>
            <w:vMerge/>
          </w:tcPr>
          <w:p w14:paraId="2FEEB58D" w14:textId="77777777" w:rsidR="00F21173" w:rsidRPr="00B075BC" w:rsidRDefault="00F21173">
            <w:pPr>
              <w:contextualSpacing/>
              <w:jc w:val="both"/>
              <w:rPr>
                <w:color w:val="000000"/>
                <w:lang w:val="en-GB"/>
              </w:rPr>
            </w:pPr>
          </w:p>
        </w:tc>
        <w:tc>
          <w:tcPr>
            <w:tcW w:w="2255" w:type="dxa"/>
            <w:vMerge/>
          </w:tcPr>
          <w:p w14:paraId="73B79D30" w14:textId="77777777" w:rsidR="00F21173" w:rsidRPr="00B075BC" w:rsidRDefault="00F21173">
            <w:pPr>
              <w:contextualSpacing/>
              <w:rPr>
                <w:color w:val="000000"/>
                <w:lang w:val="en-GB"/>
              </w:rPr>
            </w:pPr>
          </w:p>
        </w:tc>
      </w:tr>
      <w:tr w:rsidR="00F75938" w:rsidRPr="00B075BC" w14:paraId="79C9D4DE" w14:textId="77777777">
        <w:tc>
          <w:tcPr>
            <w:tcW w:w="999" w:type="dxa"/>
          </w:tcPr>
          <w:p w14:paraId="47F51572" w14:textId="7179D6A7" w:rsidR="00F75938" w:rsidRPr="00B075BC" w:rsidRDefault="00060546">
            <w:pPr>
              <w:contextualSpacing/>
              <w:jc w:val="both"/>
              <w:rPr>
                <w:i/>
                <w:color w:val="000000"/>
                <w:lang w:val="en-GB"/>
              </w:rPr>
            </w:pPr>
            <w:r>
              <w:rPr>
                <w:i/>
                <w:color w:val="000000"/>
                <w:lang w:val="en-GB"/>
              </w:rPr>
              <w:t>6.2</w:t>
            </w:r>
          </w:p>
        </w:tc>
        <w:tc>
          <w:tcPr>
            <w:tcW w:w="5238" w:type="dxa"/>
          </w:tcPr>
          <w:p w14:paraId="20449041" w14:textId="06DD29A7" w:rsidR="00F75938" w:rsidRPr="00B075BC" w:rsidRDefault="00060546">
            <w:pPr>
              <w:contextualSpacing/>
              <w:rPr>
                <w:i/>
                <w:color w:val="000000"/>
                <w:lang w:val="en-GB"/>
              </w:rPr>
            </w:pPr>
            <w:r>
              <w:rPr>
                <w:i/>
                <w:color w:val="000000"/>
                <w:lang w:val="en-GB"/>
              </w:rPr>
              <w:t>Coherence</w:t>
            </w:r>
          </w:p>
        </w:tc>
        <w:tc>
          <w:tcPr>
            <w:tcW w:w="864" w:type="dxa"/>
            <w:vMerge/>
          </w:tcPr>
          <w:p w14:paraId="015EDF4A" w14:textId="77777777" w:rsidR="00F75938" w:rsidRPr="00B075BC" w:rsidRDefault="00F75938">
            <w:pPr>
              <w:contextualSpacing/>
              <w:jc w:val="both"/>
              <w:rPr>
                <w:color w:val="000000"/>
                <w:lang w:val="en-GB"/>
              </w:rPr>
            </w:pPr>
          </w:p>
        </w:tc>
        <w:tc>
          <w:tcPr>
            <w:tcW w:w="2255" w:type="dxa"/>
            <w:vMerge/>
          </w:tcPr>
          <w:p w14:paraId="2FA8CCE9" w14:textId="77777777" w:rsidR="00F75938" w:rsidRPr="00B075BC" w:rsidRDefault="00F75938">
            <w:pPr>
              <w:contextualSpacing/>
              <w:rPr>
                <w:color w:val="000000"/>
                <w:lang w:val="en-GB"/>
              </w:rPr>
            </w:pPr>
          </w:p>
        </w:tc>
      </w:tr>
      <w:tr w:rsidR="00F21173" w:rsidRPr="00B075BC" w14:paraId="0A4AA8B2" w14:textId="77777777">
        <w:tc>
          <w:tcPr>
            <w:tcW w:w="999" w:type="dxa"/>
          </w:tcPr>
          <w:p w14:paraId="7D8C9AA1" w14:textId="5313A2B3" w:rsidR="00F21173" w:rsidRPr="00B075BC" w:rsidRDefault="00F21173">
            <w:pPr>
              <w:contextualSpacing/>
              <w:jc w:val="both"/>
              <w:rPr>
                <w:i/>
                <w:color w:val="000000"/>
                <w:lang w:val="en-GB"/>
              </w:rPr>
            </w:pPr>
            <w:r w:rsidRPr="00B075BC">
              <w:rPr>
                <w:i/>
                <w:color w:val="000000"/>
                <w:lang w:val="en-GB"/>
              </w:rPr>
              <w:t>6.</w:t>
            </w:r>
            <w:r w:rsidR="00060546">
              <w:rPr>
                <w:i/>
                <w:color w:val="000000"/>
                <w:lang w:val="en-GB"/>
              </w:rPr>
              <w:t>3</w:t>
            </w:r>
          </w:p>
        </w:tc>
        <w:tc>
          <w:tcPr>
            <w:tcW w:w="5238" w:type="dxa"/>
          </w:tcPr>
          <w:p w14:paraId="1615141E" w14:textId="77777777" w:rsidR="00F21173" w:rsidRPr="00B075BC" w:rsidRDefault="00F21173">
            <w:pPr>
              <w:contextualSpacing/>
              <w:rPr>
                <w:i/>
                <w:color w:val="000000"/>
                <w:lang w:val="en-GB"/>
              </w:rPr>
            </w:pPr>
            <w:r w:rsidRPr="00B075BC">
              <w:rPr>
                <w:i/>
                <w:color w:val="000000"/>
                <w:lang w:val="en-GB"/>
              </w:rPr>
              <w:t>Effectiveness</w:t>
            </w:r>
          </w:p>
        </w:tc>
        <w:tc>
          <w:tcPr>
            <w:tcW w:w="864" w:type="dxa"/>
            <w:vMerge/>
          </w:tcPr>
          <w:p w14:paraId="41B17FAA" w14:textId="77777777" w:rsidR="00F21173" w:rsidRPr="00B075BC" w:rsidRDefault="00F21173">
            <w:pPr>
              <w:contextualSpacing/>
              <w:jc w:val="both"/>
              <w:rPr>
                <w:color w:val="000000"/>
                <w:lang w:val="en-GB"/>
              </w:rPr>
            </w:pPr>
          </w:p>
        </w:tc>
        <w:tc>
          <w:tcPr>
            <w:tcW w:w="2255" w:type="dxa"/>
            <w:vMerge/>
          </w:tcPr>
          <w:p w14:paraId="517B8282" w14:textId="77777777" w:rsidR="00F21173" w:rsidRPr="00B075BC" w:rsidRDefault="00F21173">
            <w:pPr>
              <w:contextualSpacing/>
              <w:rPr>
                <w:color w:val="000000"/>
                <w:lang w:val="en-GB"/>
              </w:rPr>
            </w:pPr>
          </w:p>
        </w:tc>
      </w:tr>
      <w:tr w:rsidR="00F21173" w:rsidRPr="00B075BC" w14:paraId="5AE4AFA3" w14:textId="77777777">
        <w:tc>
          <w:tcPr>
            <w:tcW w:w="999" w:type="dxa"/>
          </w:tcPr>
          <w:p w14:paraId="6D36649E" w14:textId="73F2BB02" w:rsidR="00F21173" w:rsidRPr="00B075BC" w:rsidRDefault="00F21173">
            <w:pPr>
              <w:contextualSpacing/>
              <w:jc w:val="both"/>
              <w:rPr>
                <w:i/>
                <w:color w:val="000000"/>
                <w:lang w:val="en-GB"/>
              </w:rPr>
            </w:pPr>
            <w:r w:rsidRPr="00B075BC">
              <w:rPr>
                <w:i/>
                <w:color w:val="000000"/>
                <w:lang w:val="en-GB"/>
              </w:rPr>
              <w:t>6.</w:t>
            </w:r>
            <w:r w:rsidR="00060546">
              <w:rPr>
                <w:i/>
                <w:color w:val="000000"/>
                <w:lang w:val="en-GB"/>
              </w:rPr>
              <w:t>4</w:t>
            </w:r>
          </w:p>
        </w:tc>
        <w:tc>
          <w:tcPr>
            <w:tcW w:w="5238" w:type="dxa"/>
          </w:tcPr>
          <w:p w14:paraId="5ABEE4D4" w14:textId="77777777" w:rsidR="00F21173" w:rsidRPr="00B075BC" w:rsidRDefault="00F21173">
            <w:pPr>
              <w:contextualSpacing/>
              <w:rPr>
                <w:i/>
                <w:color w:val="000000"/>
                <w:lang w:val="en-GB"/>
              </w:rPr>
            </w:pPr>
            <w:r w:rsidRPr="00B075BC">
              <w:rPr>
                <w:i/>
                <w:color w:val="000000"/>
                <w:lang w:val="en-GB"/>
              </w:rPr>
              <w:t>Efficiency</w:t>
            </w:r>
          </w:p>
        </w:tc>
        <w:tc>
          <w:tcPr>
            <w:tcW w:w="864" w:type="dxa"/>
            <w:vMerge/>
          </w:tcPr>
          <w:p w14:paraId="685D745A" w14:textId="77777777" w:rsidR="00F21173" w:rsidRPr="00B075BC" w:rsidRDefault="00F21173">
            <w:pPr>
              <w:contextualSpacing/>
              <w:jc w:val="both"/>
              <w:rPr>
                <w:color w:val="000000"/>
                <w:lang w:val="en-GB"/>
              </w:rPr>
            </w:pPr>
          </w:p>
        </w:tc>
        <w:tc>
          <w:tcPr>
            <w:tcW w:w="2255" w:type="dxa"/>
            <w:vMerge/>
          </w:tcPr>
          <w:p w14:paraId="64458AA4" w14:textId="77777777" w:rsidR="00F21173" w:rsidRPr="00B075BC" w:rsidRDefault="00F21173">
            <w:pPr>
              <w:contextualSpacing/>
              <w:rPr>
                <w:color w:val="000000"/>
                <w:lang w:val="en-GB"/>
              </w:rPr>
            </w:pPr>
          </w:p>
        </w:tc>
      </w:tr>
      <w:tr w:rsidR="00F21173" w:rsidRPr="00B075BC" w14:paraId="1DC5B0E9" w14:textId="77777777">
        <w:tc>
          <w:tcPr>
            <w:tcW w:w="999" w:type="dxa"/>
          </w:tcPr>
          <w:p w14:paraId="1232D5F0" w14:textId="26A6DC9D" w:rsidR="00F21173" w:rsidRPr="00B075BC" w:rsidRDefault="00F21173">
            <w:pPr>
              <w:contextualSpacing/>
              <w:jc w:val="both"/>
              <w:rPr>
                <w:i/>
                <w:color w:val="000000"/>
                <w:lang w:val="en-GB"/>
              </w:rPr>
            </w:pPr>
            <w:r w:rsidRPr="00B075BC">
              <w:rPr>
                <w:i/>
                <w:color w:val="000000"/>
                <w:lang w:val="en-GB"/>
              </w:rPr>
              <w:t>6.</w:t>
            </w:r>
            <w:r w:rsidR="00060546">
              <w:rPr>
                <w:i/>
                <w:color w:val="000000"/>
                <w:lang w:val="en-GB"/>
              </w:rPr>
              <w:t>5</w:t>
            </w:r>
          </w:p>
        </w:tc>
        <w:tc>
          <w:tcPr>
            <w:tcW w:w="5238" w:type="dxa"/>
          </w:tcPr>
          <w:p w14:paraId="434603DF" w14:textId="77777777" w:rsidR="00F21173" w:rsidRPr="00B075BC" w:rsidRDefault="00F21173">
            <w:pPr>
              <w:contextualSpacing/>
              <w:rPr>
                <w:i/>
                <w:color w:val="000000"/>
                <w:lang w:val="en-GB"/>
              </w:rPr>
            </w:pPr>
            <w:r w:rsidRPr="00B075BC">
              <w:rPr>
                <w:i/>
                <w:color w:val="000000"/>
                <w:lang w:val="en-GB"/>
              </w:rPr>
              <w:t>Significance / overarching development impact</w:t>
            </w:r>
          </w:p>
        </w:tc>
        <w:tc>
          <w:tcPr>
            <w:tcW w:w="864" w:type="dxa"/>
            <w:vMerge/>
          </w:tcPr>
          <w:p w14:paraId="700F57E0" w14:textId="77777777" w:rsidR="00F21173" w:rsidRPr="00B075BC" w:rsidRDefault="00F21173">
            <w:pPr>
              <w:contextualSpacing/>
              <w:jc w:val="both"/>
              <w:rPr>
                <w:color w:val="000000"/>
                <w:lang w:val="en-GB"/>
              </w:rPr>
            </w:pPr>
          </w:p>
        </w:tc>
        <w:tc>
          <w:tcPr>
            <w:tcW w:w="2255" w:type="dxa"/>
            <w:vMerge/>
          </w:tcPr>
          <w:p w14:paraId="17AB32B9" w14:textId="77777777" w:rsidR="00F21173" w:rsidRPr="00B075BC" w:rsidRDefault="00F21173">
            <w:pPr>
              <w:contextualSpacing/>
              <w:rPr>
                <w:color w:val="000000"/>
                <w:lang w:val="en-GB"/>
              </w:rPr>
            </w:pPr>
          </w:p>
        </w:tc>
      </w:tr>
      <w:tr w:rsidR="00F21173" w:rsidRPr="00B075BC" w14:paraId="5DB27245" w14:textId="77777777">
        <w:tc>
          <w:tcPr>
            <w:tcW w:w="999" w:type="dxa"/>
          </w:tcPr>
          <w:p w14:paraId="44209BFB" w14:textId="068213B0" w:rsidR="00F21173" w:rsidRPr="00B075BC" w:rsidRDefault="00F21173">
            <w:pPr>
              <w:contextualSpacing/>
              <w:jc w:val="both"/>
              <w:rPr>
                <w:i/>
                <w:color w:val="000000"/>
                <w:lang w:val="en-GB"/>
              </w:rPr>
            </w:pPr>
            <w:r w:rsidRPr="00B075BC">
              <w:rPr>
                <w:i/>
                <w:color w:val="000000"/>
                <w:lang w:val="en-GB"/>
              </w:rPr>
              <w:t>6.</w:t>
            </w:r>
            <w:r w:rsidR="00060546">
              <w:rPr>
                <w:i/>
                <w:color w:val="000000"/>
                <w:lang w:val="en-GB"/>
              </w:rPr>
              <w:t>6</w:t>
            </w:r>
          </w:p>
        </w:tc>
        <w:tc>
          <w:tcPr>
            <w:tcW w:w="5238" w:type="dxa"/>
          </w:tcPr>
          <w:p w14:paraId="320CD502" w14:textId="77777777" w:rsidR="00F21173" w:rsidRPr="00B075BC" w:rsidRDefault="00F21173">
            <w:pPr>
              <w:contextualSpacing/>
              <w:rPr>
                <w:i/>
                <w:color w:val="000000"/>
                <w:lang w:val="en-GB"/>
              </w:rPr>
            </w:pPr>
            <w:r w:rsidRPr="00B075BC">
              <w:rPr>
                <w:i/>
                <w:color w:val="000000"/>
                <w:lang w:val="en-GB"/>
              </w:rPr>
              <w:t>Sustainability</w:t>
            </w:r>
          </w:p>
        </w:tc>
        <w:tc>
          <w:tcPr>
            <w:tcW w:w="864" w:type="dxa"/>
            <w:vMerge/>
          </w:tcPr>
          <w:p w14:paraId="31548BFD" w14:textId="77777777" w:rsidR="00F21173" w:rsidRPr="00B075BC" w:rsidRDefault="00F21173">
            <w:pPr>
              <w:contextualSpacing/>
              <w:jc w:val="both"/>
              <w:rPr>
                <w:color w:val="000000"/>
                <w:lang w:val="en-GB"/>
              </w:rPr>
            </w:pPr>
          </w:p>
        </w:tc>
        <w:tc>
          <w:tcPr>
            <w:tcW w:w="2255" w:type="dxa"/>
            <w:vMerge/>
          </w:tcPr>
          <w:p w14:paraId="138B2FB8" w14:textId="77777777" w:rsidR="00F21173" w:rsidRPr="00B075BC" w:rsidRDefault="00F21173">
            <w:pPr>
              <w:contextualSpacing/>
              <w:rPr>
                <w:color w:val="000000"/>
                <w:lang w:val="en-GB"/>
              </w:rPr>
            </w:pPr>
          </w:p>
        </w:tc>
      </w:tr>
      <w:tr w:rsidR="00F21173" w:rsidRPr="00B075BC" w14:paraId="49D1E5C3" w14:textId="77777777">
        <w:tc>
          <w:tcPr>
            <w:tcW w:w="999" w:type="dxa"/>
          </w:tcPr>
          <w:p w14:paraId="21D6A566" w14:textId="77777777" w:rsidR="00F21173" w:rsidRPr="00B075BC" w:rsidRDefault="00F21173">
            <w:pPr>
              <w:contextualSpacing/>
              <w:jc w:val="both"/>
              <w:rPr>
                <w:color w:val="000000"/>
                <w:lang w:val="en-GB"/>
              </w:rPr>
            </w:pPr>
            <w:r w:rsidRPr="00B075BC">
              <w:rPr>
                <w:color w:val="000000"/>
                <w:lang w:val="en-GB"/>
              </w:rPr>
              <w:t>7.</w:t>
            </w:r>
          </w:p>
        </w:tc>
        <w:tc>
          <w:tcPr>
            <w:tcW w:w="5238" w:type="dxa"/>
          </w:tcPr>
          <w:p w14:paraId="4293F5D9" w14:textId="77777777" w:rsidR="00F21173" w:rsidRPr="00B075BC" w:rsidRDefault="00F21173">
            <w:pPr>
              <w:contextualSpacing/>
              <w:rPr>
                <w:color w:val="000000"/>
                <w:lang w:val="en-GB"/>
              </w:rPr>
            </w:pPr>
            <w:r w:rsidRPr="00B075BC">
              <w:rPr>
                <w:color w:val="000000"/>
                <w:lang w:val="en-GB"/>
              </w:rPr>
              <w:t>Conclusion, incl. recommendations by the consultants</w:t>
            </w:r>
          </w:p>
        </w:tc>
        <w:tc>
          <w:tcPr>
            <w:tcW w:w="864" w:type="dxa"/>
          </w:tcPr>
          <w:p w14:paraId="414B5DB9" w14:textId="77777777" w:rsidR="00F21173" w:rsidRPr="00B075BC" w:rsidRDefault="00F21173">
            <w:pPr>
              <w:contextualSpacing/>
              <w:jc w:val="both"/>
              <w:rPr>
                <w:color w:val="000000"/>
                <w:lang w:val="en-GB"/>
              </w:rPr>
            </w:pPr>
            <w:r w:rsidRPr="00B075BC">
              <w:rPr>
                <w:color w:val="000000"/>
                <w:lang w:val="en-GB"/>
              </w:rPr>
              <w:t>2-3</w:t>
            </w:r>
          </w:p>
        </w:tc>
        <w:tc>
          <w:tcPr>
            <w:tcW w:w="2255" w:type="dxa"/>
          </w:tcPr>
          <w:p w14:paraId="03575E86" w14:textId="77777777" w:rsidR="00F21173" w:rsidRPr="00B075BC" w:rsidRDefault="00F21173">
            <w:pPr>
              <w:contextualSpacing/>
              <w:rPr>
                <w:color w:val="000000"/>
                <w:lang w:val="en-GB"/>
              </w:rPr>
            </w:pPr>
          </w:p>
        </w:tc>
      </w:tr>
      <w:tr w:rsidR="00F21173" w:rsidRPr="00B075BC" w14:paraId="3640DE00" w14:textId="77777777">
        <w:tc>
          <w:tcPr>
            <w:tcW w:w="999" w:type="dxa"/>
          </w:tcPr>
          <w:p w14:paraId="146854B1" w14:textId="77777777" w:rsidR="00F21173" w:rsidRPr="00B075BC" w:rsidRDefault="00F21173">
            <w:pPr>
              <w:contextualSpacing/>
              <w:jc w:val="both"/>
              <w:rPr>
                <w:color w:val="000000"/>
                <w:lang w:val="en-GB"/>
              </w:rPr>
            </w:pPr>
          </w:p>
        </w:tc>
        <w:tc>
          <w:tcPr>
            <w:tcW w:w="5238" w:type="dxa"/>
          </w:tcPr>
          <w:p w14:paraId="0185BE88" w14:textId="77777777" w:rsidR="00F21173" w:rsidRPr="00B075BC" w:rsidRDefault="00F21173">
            <w:pPr>
              <w:tabs>
                <w:tab w:val="left" w:pos="284"/>
              </w:tabs>
              <w:contextualSpacing/>
              <w:rPr>
                <w:color w:val="000000"/>
                <w:lang w:val="en-GB"/>
              </w:rPr>
            </w:pPr>
            <w:r w:rsidRPr="00B075BC">
              <w:rPr>
                <w:color w:val="000000"/>
                <w:lang w:val="en-GB"/>
              </w:rPr>
              <w:t xml:space="preserve">Annex </w:t>
            </w:r>
          </w:p>
          <w:p w14:paraId="02EB0BAD" w14:textId="77777777" w:rsidR="00F21173" w:rsidRPr="00B075BC" w:rsidRDefault="00F21173">
            <w:pPr>
              <w:tabs>
                <w:tab w:val="left" w:pos="284"/>
              </w:tabs>
              <w:contextualSpacing/>
              <w:rPr>
                <w:i/>
                <w:lang w:val="en-GB" w:eastAsia="de-DE"/>
              </w:rPr>
            </w:pPr>
            <w:r w:rsidRPr="00B075BC">
              <w:rPr>
                <w:i/>
                <w:color w:val="000000"/>
                <w:lang w:val="en-GB"/>
              </w:rPr>
              <w:t xml:space="preserve">(might include e.g. </w:t>
            </w:r>
            <w:r w:rsidRPr="00B075BC">
              <w:rPr>
                <w:i/>
                <w:lang w:val="en-GB" w:eastAsia="de-DE"/>
              </w:rPr>
              <w:t xml:space="preserve">a) </w:t>
            </w:r>
            <w:proofErr w:type="spellStart"/>
            <w:r w:rsidRPr="00B075BC">
              <w:rPr>
                <w:i/>
                <w:lang w:val="en-GB" w:eastAsia="de-DE"/>
              </w:rPr>
              <w:t>ToR</w:t>
            </w:r>
            <w:proofErr w:type="spellEnd"/>
            <w:r w:rsidRPr="00B075BC">
              <w:rPr>
                <w:i/>
                <w:lang w:val="en-GB" w:eastAsia="de-DE"/>
              </w:rPr>
              <w:t xml:space="preserve"> of the feasibility study; b) profile of the consultants; c) evaluation </w:t>
            </w:r>
            <w:r w:rsidRPr="00B075BC">
              <w:rPr>
                <w:i/>
                <w:lang w:val="en-GB" w:eastAsia="de-DE"/>
              </w:rPr>
              <w:lastRenderedPageBreak/>
              <w:t>matrix; d) final timetable of the study; e) list of conducted interviews and dialogue meetings; f) list of references and literature; g) questionnaires and other data/ information gathering instruments)</w:t>
            </w:r>
          </w:p>
        </w:tc>
        <w:tc>
          <w:tcPr>
            <w:tcW w:w="864" w:type="dxa"/>
          </w:tcPr>
          <w:p w14:paraId="0E2B9C08" w14:textId="77777777" w:rsidR="00F21173" w:rsidRPr="00B075BC" w:rsidRDefault="00F21173">
            <w:pPr>
              <w:contextualSpacing/>
              <w:jc w:val="both"/>
              <w:rPr>
                <w:color w:val="000000"/>
                <w:lang w:val="en-GB"/>
              </w:rPr>
            </w:pPr>
          </w:p>
        </w:tc>
        <w:tc>
          <w:tcPr>
            <w:tcW w:w="2255" w:type="dxa"/>
          </w:tcPr>
          <w:p w14:paraId="3A0D9604" w14:textId="72A2F37B" w:rsidR="00F21173" w:rsidRPr="00B075BC" w:rsidRDefault="00F21173">
            <w:pPr>
              <w:contextualSpacing/>
              <w:rPr>
                <w:color w:val="000000"/>
                <w:lang w:val="en-GB"/>
              </w:rPr>
            </w:pPr>
            <w:r w:rsidRPr="00B075BC">
              <w:rPr>
                <w:color w:val="000000"/>
                <w:lang w:val="en-GB"/>
              </w:rPr>
              <w:t xml:space="preserve">Annex not counted </w:t>
            </w:r>
            <w:r w:rsidR="00E14203">
              <w:rPr>
                <w:color w:val="000000"/>
                <w:lang w:val="en-GB"/>
              </w:rPr>
              <w:t>towards</w:t>
            </w:r>
            <w:r w:rsidRPr="00B075BC">
              <w:rPr>
                <w:color w:val="000000"/>
                <w:lang w:val="en-GB"/>
              </w:rPr>
              <w:t xml:space="preserve"> overall maximum length of </w:t>
            </w:r>
            <w:r w:rsidRPr="00B075BC">
              <w:rPr>
                <w:color w:val="000000"/>
                <w:lang w:val="en-GB"/>
              </w:rPr>
              <w:lastRenderedPageBreak/>
              <w:t xml:space="preserve">30 pages </w:t>
            </w:r>
            <w:r w:rsidR="003B1441">
              <w:rPr>
                <w:color w:val="000000"/>
                <w:lang w:val="en-GB"/>
              </w:rPr>
              <w:t>of</w:t>
            </w:r>
            <w:r w:rsidRPr="00B075BC">
              <w:rPr>
                <w:color w:val="000000"/>
                <w:lang w:val="en-GB"/>
              </w:rPr>
              <w:t xml:space="preserve"> the report.</w:t>
            </w:r>
          </w:p>
        </w:tc>
      </w:tr>
    </w:tbl>
    <w:p w14:paraId="71916D2E" w14:textId="77777777" w:rsidR="00F21173" w:rsidRPr="00B075BC" w:rsidRDefault="00F21173" w:rsidP="00F21173">
      <w:pPr>
        <w:contextualSpacing/>
        <w:jc w:val="both"/>
        <w:rPr>
          <w:i/>
          <w:color w:val="000000"/>
          <w:lang w:val="en-GB"/>
        </w:rPr>
      </w:pPr>
      <w:r w:rsidRPr="00B075BC">
        <w:rPr>
          <w:i/>
          <w:color w:val="000000"/>
          <w:lang w:val="en-GB"/>
        </w:rPr>
        <w:lastRenderedPageBreak/>
        <w:t>*Please note: The mentioned page numbers for the individual chapters are only rough suggestions. At the same time, they provide an indication how much focus/priority should be given to which topic.</w:t>
      </w:r>
    </w:p>
    <w:p w14:paraId="73166CFA" w14:textId="77777777" w:rsidR="00F21173" w:rsidRPr="00B075BC" w:rsidRDefault="00F21173" w:rsidP="00F21173">
      <w:pPr>
        <w:contextualSpacing/>
        <w:jc w:val="both"/>
        <w:rPr>
          <w:color w:val="000000"/>
          <w:lang w:val="en-GB"/>
        </w:rPr>
      </w:pPr>
    </w:p>
    <w:p w14:paraId="3E5FA8FC" w14:textId="77777777" w:rsidR="00F21173" w:rsidRPr="00B075BC" w:rsidRDefault="00F21173" w:rsidP="00F21173">
      <w:pPr>
        <w:contextualSpacing/>
        <w:jc w:val="both"/>
        <w:rPr>
          <w:b/>
          <w:color w:val="000000"/>
          <w:lang w:val="en-GB"/>
        </w:rPr>
      </w:pPr>
      <w:r w:rsidRPr="00B075BC">
        <w:rPr>
          <w:b/>
          <w:color w:val="000000"/>
          <w:lang w:val="en-GB"/>
        </w:rPr>
        <w:t>3.3 Methodology</w:t>
      </w:r>
    </w:p>
    <w:p w14:paraId="76E29041" w14:textId="77777777" w:rsidR="00F21173" w:rsidRPr="00B075BC" w:rsidRDefault="00F21173" w:rsidP="00F21173">
      <w:pPr>
        <w:contextualSpacing/>
        <w:jc w:val="both"/>
        <w:rPr>
          <w:color w:val="000000"/>
          <w:lang w:val="en-GB"/>
        </w:rPr>
      </w:pPr>
      <w:r w:rsidRPr="00B075BC">
        <w:rPr>
          <w:color w:val="000000"/>
          <w:lang w:val="en-GB"/>
        </w:rPr>
        <w:t>The methodology shall include at least the following:</w:t>
      </w:r>
    </w:p>
    <w:p w14:paraId="6CC4FD1B" w14:textId="77777777" w:rsidR="00F21173" w:rsidRPr="00B075BC" w:rsidRDefault="00F21173" w:rsidP="00722BF4">
      <w:pPr>
        <w:numPr>
          <w:ilvl w:val="0"/>
          <w:numId w:val="2"/>
        </w:numPr>
        <w:tabs>
          <w:tab w:val="clear" w:pos="720"/>
          <w:tab w:val="num" w:pos="567"/>
        </w:tabs>
        <w:spacing w:before="120" w:after="120"/>
        <w:ind w:left="568" w:hanging="284"/>
        <w:jc w:val="both"/>
        <w:rPr>
          <w:color w:val="000000"/>
          <w:lang w:val="en-GB"/>
        </w:rPr>
      </w:pPr>
      <w:r w:rsidRPr="00B075BC">
        <w:rPr>
          <w:color w:val="000000"/>
          <w:lang w:val="en-GB"/>
        </w:rPr>
        <w:t>The consultant will review existing documents related to the programme to be evaluated, including the programme proposal.</w:t>
      </w:r>
    </w:p>
    <w:p w14:paraId="5C2ED970" w14:textId="77777777" w:rsidR="00F21173" w:rsidRPr="00B075BC" w:rsidRDefault="00F21173" w:rsidP="00722BF4">
      <w:pPr>
        <w:numPr>
          <w:ilvl w:val="0"/>
          <w:numId w:val="2"/>
        </w:numPr>
        <w:tabs>
          <w:tab w:val="clear" w:pos="720"/>
          <w:tab w:val="num" w:pos="567"/>
        </w:tabs>
        <w:spacing w:before="120" w:after="120"/>
        <w:ind w:left="568" w:hanging="284"/>
        <w:jc w:val="both"/>
        <w:rPr>
          <w:color w:val="000000"/>
          <w:lang w:val="en-GB"/>
        </w:rPr>
      </w:pPr>
      <w:r w:rsidRPr="00B075BC">
        <w:rPr>
          <w:color w:val="000000"/>
          <w:lang w:val="en-GB"/>
        </w:rPr>
        <w:t xml:space="preserve">The consultant will review studies related to climate change and relevant evaluations and lessons learnt documents of previous NETZ supported programmes. </w:t>
      </w:r>
    </w:p>
    <w:p w14:paraId="0C58756F" w14:textId="77777777" w:rsidR="00F21173" w:rsidRPr="00B075BC" w:rsidRDefault="00F21173" w:rsidP="00722BF4">
      <w:pPr>
        <w:numPr>
          <w:ilvl w:val="0"/>
          <w:numId w:val="2"/>
        </w:numPr>
        <w:tabs>
          <w:tab w:val="clear" w:pos="720"/>
          <w:tab w:val="num" w:pos="567"/>
        </w:tabs>
        <w:spacing w:before="120" w:after="120"/>
        <w:ind w:left="568" w:hanging="284"/>
        <w:jc w:val="both"/>
        <w:rPr>
          <w:color w:val="000000"/>
          <w:lang w:val="en-GB"/>
        </w:rPr>
      </w:pPr>
      <w:r w:rsidRPr="00B075BC">
        <w:rPr>
          <w:color w:val="000000"/>
          <w:lang w:val="en-GB"/>
        </w:rPr>
        <w:t>The consultant will conduct interviews and/or focus group discussions (FGDs) with representative of the target groups and respective local communities, civil society, local authorities (i.e. government officials) and staff of partner organisations and NETZ.</w:t>
      </w:r>
    </w:p>
    <w:p w14:paraId="389DCB56" w14:textId="77777777" w:rsidR="00F21173" w:rsidRPr="00B075BC" w:rsidRDefault="00F21173" w:rsidP="00722BF4">
      <w:pPr>
        <w:numPr>
          <w:ilvl w:val="0"/>
          <w:numId w:val="2"/>
        </w:numPr>
        <w:tabs>
          <w:tab w:val="clear" w:pos="720"/>
          <w:tab w:val="num" w:pos="567"/>
        </w:tabs>
        <w:spacing w:before="120" w:after="120"/>
        <w:ind w:left="568" w:hanging="284"/>
        <w:jc w:val="both"/>
        <w:rPr>
          <w:color w:val="000000"/>
          <w:lang w:val="en-GB"/>
        </w:rPr>
      </w:pPr>
      <w:r w:rsidRPr="00B075BC">
        <w:rPr>
          <w:color w:val="000000"/>
          <w:lang w:val="en-GB"/>
        </w:rPr>
        <w:t>The consultant is expected to coordinate with the partner organisations and NETZ at the beginning of the feasibility study and continuously brief them as and when needed during the study. Debriefing session will be organised by the consultant with appropriate staff of the partner organisations at the end of each working area visit and with NETZ after the last working area visit to share and to discuss their findings and recommendations.</w:t>
      </w:r>
    </w:p>
    <w:p w14:paraId="188E7BEF" w14:textId="77777777" w:rsidR="00F21173" w:rsidRPr="00B075BC" w:rsidRDefault="00F21173" w:rsidP="00722BF4">
      <w:pPr>
        <w:numPr>
          <w:ilvl w:val="0"/>
          <w:numId w:val="2"/>
        </w:numPr>
        <w:tabs>
          <w:tab w:val="clear" w:pos="720"/>
          <w:tab w:val="num" w:pos="567"/>
        </w:tabs>
        <w:spacing w:before="120" w:after="120"/>
        <w:ind w:left="568" w:hanging="284"/>
        <w:jc w:val="both"/>
        <w:rPr>
          <w:color w:val="000000"/>
          <w:lang w:val="en-GB"/>
        </w:rPr>
      </w:pPr>
      <w:r w:rsidRPr="00B075BC">
        <w:rPr>
          <w:color w:val="000000"/>
          <w:lang w:val="en-GB"/>
        </w:rPr>
        <w:t>A draft report by the consultant will be shared with all partner organisations and NETZ. Their feedback and suggestions will be reflected during the finalisation of the feasibility study report by the consultant.</w:t>
      </w:r>
    </w:p>
    <w:p w14:paraId="2D354390" w14:textId="77777777" w:rsidR="00F21173" w:rsidRPr="00B075BC" w:rsidRDefault="00F21173" w:rsidP="00F21173">
      <w:pPr>
        <w:contextualSpacing/>
        <w:jc w:val="both"/>
        <w:rPr>
          <w:color w:val="000000"/>
          <w:lang w:val="en-GB"/>
        </w:rPr>
      </w:pPr>
      <w:r w:rsidRPr="00B075BC">
        <w:rPr>
          <w:color w:val="000000"/>
          <w:lang w:val="en-GB"/>
        </w:rPr>
        <w:t xml:space="preserve">A detailed working plan including methodology will be submitted by the consultant to NETZ for approval; for this purpose, NETZ will as well seek feedback and suggestions by the partner organisations. </w:t>
      </w:r>
    </w:p>
    <w:p w14:paraId="6F6DA694" w14:textId="77777777" w:rsidR="00F21173" w:rsidRPr="00B075BC" w:rsidRDefault="00F21173" w:rsidP="00F21173">
      <w:pPr>
        <w:contextualSpacing/>
        <w:jc w:val="both"/>
        <w:rPr>
          <w:color w:val="000000"/>
          <w:lang w:val="en-GB"/>
        </w:rPr>
      </w:pPr>
    </w:p>
    <w:p w14:paraId="5C9C6F9A" w14:textId="77777777" w:rsidR="00F21173" w:rsidRPr="00B075BC" w:rsidRDefault="00F21173" w:rsidP="00F21173">
      <w:pPr>
        <w:contextualSpacing/>
        <w:jc w:val="both"/>
        <w:rPr>
          <w:b/>
          <w:color w:val="000000"/>
          <w:lang w:val="en-GB"/>
        </w:rPr>
      </w:pPr>
      <w:r w:rsidRPr="00B075BC">
        <w:rPr>
          <w:b/>
          <w:color w:val="000000"/>
          <w:lang w:val="en-GB"/>
        </w:rPr>
        <w:t>4. Process</w:t>
      </w:r>
    </w:p>
    <w:p w14:paraId="49A8988D" w14:textId="24CDF10A" w:rsidR="009D3ECC" w:rsidRPr="00B075BC" w:rsidRDefault="00F21173" w:rsidP="009D3ECC">
      <w:pPr>
        <w:contextualSpacing/>
        <w:jc w:val="both"/>
        <w:rPr>
          <w:color w:val="000000"/>
          <w:lang w:val="en-GB"/>
        </w:rPr>
      </w:pPr>
      <w:r w:rsidRPr="00B075BC">
        <w:rPr>
          <w:color w:val="000000"/>
          <w:lang w:val="en-GB"/>
        </w:rPr>
        <w:t>The following table summarises the different phases of the feasibility study and will be concretised in cooperation with the selected consultant.</w:t>
      </w:r>
    </w:p>
    <w:p w14:paraId="56E37A60" w14:textId="77777777" w:rsidR="00F21173" w:rsidRPr="00B075BC" w:rsidRDefault="00F21173" w:rsidP="00F21173">
      <w:pPr>
        <w:contextualSpacing/>
        <w:jc w:val="both"/>
        <w:rPr>
          <w:color w:val="000000"/>
          <w:lang w:val="en-GB"/>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
        <w:gridCol w:w="6821"/>
        <w:gridCol w:w="1965"/>
      </w:tblGrid>
      <w:tr w:rsidR="00F21173" w:rsidRPr="00B075BC" w14:paraId="26B7AFF1" w14:textId="77777777" w:rsidTr="404B2CDD">
        <w:trPr>
          <w:trHeight w:val="260"/>
          <w:tblHeader/>
        </w:trPr>
        <w:tc>
          <w:tcPr>
            <w:tcW w:w="570" w:type="dxa"/>
            <w:shd w:val="clear" w:color="auto" w:fill="D9D9D9" w:themeFill="background1" w:themeFillShade="D9"/>
          </w:tcPr>
          <w:p w14:paraId="6FDA89EB" w14:textId="77777777" w:rsidR="00F21173" w:rsidRPr="00B075BC" w:rsidRDefault="00F21173">
            <w:pPr>
              <w:pStyle w:val="Study2"/>
              <w:spacing w:after="0" w:line="240" w:lineRule="auto"/>
              <w:jc w:val="left"/>
              <w:rPr>
                <w:rFonts w:ascii="Times New Roman" w:hAnsi="Times New Roman" w:cs="Times New Roman"/>
                <w:b/>
                <w:sz w:val="24"/>
                <w:szCs w:val="24"/>
              </w:rPr>
            </w:pPr>
            <w:r w:rsidRPr="00B075BC">
              <w:rPr>
                <w:rFonts w:ascii="Times New Roman" w:hAnsi="Times New Roman" w:cs="Times New Roman"/>
                <w:b/>
                <w:sz w:val="24"/>
                <w:szCs w:val="24"/>
              </w:rPr>
              <w:t>No.</w:t>
            </w:r>
          </w:p>
        </w:tc>
        <w:tc>
          <w:tcPr>
            <w:tcW w:w="6821" w:type="dxa"/>
            <w:shd w:val="clear" w:color="auto" w:fill="D9D9D9" w:themeFill="background1" w:themeFillShade="D9"/>
          </w:tcPr>
          <w:p w14:paraId="2DE9DC6E" w14:textId="77777777" w:rsidR="00F21173" w:rsidRPr="00B075BC" w:rsidRDefault="00F21173">
            <w:pPr>
              <w:pStyle w:val="Study2"/>
              <w:spacing w:after="0" w:line="240" w:lineRule="auto"/>
              <w:jc w:val="left"/>
              <w:rPr>
                <w:rFonts w:ascii="Times New Roman" w:hAnsi="Times New Roman" w:cs="Times New Roman"/>
                <w:b/>
                <w:sz w:val="24"/>
                <w:szCs w:val="24"/>
              </w:rPr>
            </w:pPr>
            <w:r w:rsidRPr="00B075BC">
              <w:rPr>
                <w:rFonts w:ascii="Times New Roman" w:hAnsi="Times New Roman" w:cs="Times New Roman"/>
                <w:b/>
                <w:sz w:val="24"/>
                <w:szCs w:val="24"/>
              </w:rPr>
              <w:t>Evaluation phases</w:t>
            </w:r>
          </w:p>
        </w:tc>
        <w:tc>
          <w:tcPr>
            <w:tcW w:w="1965" w:type="dxa"/>
            <w:shd w:val="clear" w:color="auto" w:fill="D9D9D9" w:themeFill="background1" w:themeFillShade="D9"/>
          </w:tcPr>
          <w:p w14:paraId="7FBA3CB4" w14:textId="77777777" w:rsidR="00F21173" w:rsidRPr="00B075BC" w:rsidRDefault="00F21173">
            <w:pPr>
              <w:pStyle w:val="Study2"/>
              <w:spacing w:after="0" w:line="240" w:lineRule="auto"/>
              <w:jc w:val="left"/>
              <w:rPr>
                <w:rFonts w:ascii="Times New Roman" w:hAnsi="Times New Roman" w:cs="Times New Roman"/>
                <w:b/>
                <w:sz w:val="24"/>
                <w:szCs w:val="24"/>
              </w:rPr>
            </w:pPr>
            <w:r w:rsidRPr="00B075BC">
              <w:rPr>
                <w:rFonts w:ascii="Times New Roman" w:hAnsi="Times New Roman" w:cs="Times New Roman"/>
                <w:b/>
                <w:sz w:val="24"/>
                <w:szCs w:val="24"/>
              </w:rPr>
              <w:t>Timeframe</w:t>
            </w:r>
          </w:p>
        </w:tc>
      </w:tr>
      <w:tr w:rsidR="00F21173" w:rsidRPr="00B075BC" w14:paraId="76E8064C" w14:textId="77777777" w:rsidTr="404B2CDD">
        <w:trPr>
          <w:trHeight w:val="245"/>
        </w:trPr>
        <w:tc>
          <w:tcPr>
            <w:tcW w:w="570" w:type="dxa"/>
          </w:tcPr>
          <w:p w14:paraId="6FE56F6A" w14:textId="77777777" w:rsidR="00F21173" w:rsidRPr="00B075BC" w:rsidRDefault="00F21173">
            <w:pPr>
              <w:pStyle w:val="Study2"/>
              <w:spacing w:after="0" w:line="240" w:lineRule="auto"/>
              <w:jc w:val="left"/>
              <w:rPr>
                <w:rFonts w:ascii="Times New Roman" w:hAnsi="Times New Roman" w:cs="Times New Roman"/>
                <w:sz w:val="24"/>
                <w:szCs w:val="24"/>
              </w:rPr>
            </w:pPr>
            <w:r w:rsidRPr="00B075BC">
              <w:rPr>
                <w:rFonts w:ascii="Times New Roman" w:hAnsi="Times New Roman" w:cs="Times New Roman"/>
                <w:sz w:val="24"/>
                <w:szCs w:val="24"/>
              </w:rPr>
              <w:t>1</w:t>
            </w:r>
          </w:p>
        </w:tc>
        <w:tc>
          <w:tcPr>
            <w:tcW w:w="6821" w:type="dxa"/>
          </w:tcPr>
          <w:p w14:paraId="4FF01E8F" w14:textId="77777777" w:rsidR="00F21173" w:rsidRPr="00B075BC" w:rsidRDefault="00F21173">
            <w:pPr>
              <w:pStyle w:val="Study2"/>
              <w:spacing w:after="0" w:line="240" w:lineRule="auto"/>
              <w:jc w:val="left"/>
              <w:rPr>
                <w:rFonts w:ascii="Times New Roman" w:hAnsi="Times New Roman" w:cs="Times New Roman"/>
                <w:sz w:val="24"/>
                <w:szCs w:val="24"/>
              </w:rPr>
            </w:pPr>
            <w:r w:rsidRPr="00B075BC">
              <w:rPr>
                <w:rFonts w:ascii="Times New Roman" w:hAnsi="Times New Roman" w:cs="Times New Roman"/>
                <w:sz w:val="24"/>
                <w:szCs w:val="24"/>
              </w:rPr>
              <w:t>Planning meeting with staff members of NETZ in Dhaka</w:t>
            </w:r>
          </w:p>
        </w:tc>
        <w:tc>
          <w:tcPr>
            <w:tcW w:w="1965" w:type="dxa"/>
          </w:tcPr>
          <w:p w14:paraId="49D120E6" w14:textId="519D7ADC" w:rsidR="00F21173" w:rsidRPr="00B075BC" w:rsidRDefault="00C93391">
            <w:pPr>
              <w:pStyle w:val="Study2"/>
              <w:spacing w:after="0" w:line="240" w:lineRule="auto"/>
              <w:jc w:val="left"/>
              <w:rPr>
                <w:rFonts w:ascii="Times New Roman" w:hAnsi="Times New Roman" w:cs="Times New Roman"/>
                <w:sz w:val="24"/>
                <w:szCs w:val="24"/>
              </w:rPr>
            </w:pPr>
            <w:r w:rsidRPr="00B075BC">
              <w:rPr>
                <w:rFonts w:ascii="Times New Roman" w:hAnsi="Times New Roman" w:cs="Times New Roman"/>
                <w:sz w:val="24"/>
                <w:szCs w:val="24"/>
              </w:rPr>
              <w:t>2</w:t>
            </w:r>
            <w:r w:rsidR="00871475">
              <w:rPr>
                <w:rFonts w:ascii="Times New Roman" w:hAnsi="Times New Roman" w:cs="Times New Roman"/>
                <w:sz w:val="24"/>
                <w:szCs w:val="24"/>
              </w:rPr>
              <w:t>0</w:t>
            </w:r>
            <w:r w:rsidR="00256BBD" w:rsidRPr="00B075BC">
              <w:rPr>
                <w:rFonts w:ascii="Times New Roman" w:hAnsi="Times New Roman" w:cs="Times New Roman"/>
                <w:sz w:val="24"/>
                <w:szCs w:val="24"/>
              </w:rPr>
              <w:t xml:space="preserve"> July</w:t>
            </w:r>
            <w:r w:rsidR="00F21173" w:rsidRPr="00B075BC">
              <w:rPr>
                <w:rFonts w:ascii="Times New Roman" w:hAnsi="Times New Roman" w:cs="Times New Roman"/>
                <w:sz w:val="24"/>
                <w:szCs w:val="24"/>
              </w:rPr>
              <w:t xml:space="preserve"> 202</w:t>
            </w:r>
            <w:r w:rsidR="00871475">
              <w:rPr>
                <w:rFonts w:ascii="Times New Roman" w:hAnsi="Times New Roman" w:cs="Times New Roman"/>
                <w:sz w:val="24"/>
                <w:szCs w:val="24"/>
              </w:rPr>
              <w:t>6</w:t>
            </w:r>
          </w:p>
        </w:tc>
      </w:tr>
      <w:tr w:rsidR="00F21173" w:rsidRPr="00B075BC" w14:paraId="04812700" w14:textId="77777777" w:rsidTr="404B2CDD">
        <w:trPr>
          <w:trHeight w:val="260"/>
        </w:trPr>
        <w:tc>
          <w:tcPr>
            <w:tcW w:w="570" w:type="dxa"/>
          </w:tcPr>
          <w:p w14:paraId="3E467D48" w14:textId="77777777" w:rsidR="00F21173" w:rsidRPr="00B075BC" w:rsidRDefault="00F21173">
            <w:pPr>
              <w:pStyle w:val="Study2"/>
              <w:spacing w:after="0" w:line="240" w:lineRule="auto"/>
              <w:jc w:val="left"/>
              <w:rPr>
                <w:rFonts w:ascii="Times New Roman" w:hAnsi="Times New Roman" w:cs="Times New Roman"/>
                <w:sz w:val="24"/>
                <w:szCs w:val="24"/>
              </w:rPr>
            </w:pPr>
            <w:r w:rsidRPr="00B075BC">
              <w:rPr>
                <w:rFonts w:ascii="Times New Roman" w:hAnsi="Times New Roman" w:cs="Times New Roman"/>
                <w:sz w:val="24"/>
                <w:szCs w:val="24"/>
              </w:rPr>
              <w:t>2</w:t>
            </w:r>
          </w:p>
        </w:tc>
        <w:tc>
          <w:tcPr>
            <w:tcW w:w="6821" w:type="dxa"/>
          </w:tcPr>
          <w:p w14:paraId="31410DBF" w14:textId="77777777" w:rsidR="00F21173" w:rsidRPr="00B075BC" w:rsidRDefault="00F21173">
            <w:pPr>
              <w:pStyle w:val="Study2"/>
              <w:spacing w:after="0" w:line="240" w:lineRule="auto"/>
              <w:jc w:val="left"/>
              <w:rPr>
                <w:rFonts w:ascii="Times New Roman" w:hAnsi="Times New Roman" w:cs="Times New Roman"/>
                <w:sz w:val="24"/>
                <w:szCs w:val="24"/>
              </w:rPr>
            </w:pPr>
            <w:r w:rsidRPr="00B075BC">
              <w:rPr>
                <w:rFonts w:ascii="Times New Roman" w:hAnsi="Times New Roman" w:cs="Times New Roman"/>
                <w:sz w:val="24"/>
                <w:szCs w:val="24"/>
              </w:rPr>
              <w:t>Review of respective documents</w:t>
            </w:r>
          </w:p>
        </w:tc>
        <w:tc>
          <w:tcPr>
            <w:tcW w:w="1965" w:type="dxa"/>
          </w:tcPr>
          <w:p w14:paraId="27B92304" w14:textId="1E716BB3" w:rsidR="00F21173" w:rsidRPr="00B075BC" w:rsidRDefault="00F5404B">
            <w:pPr>
              <w:pStyle w:val="Study2"/>
              <w:spacing w:after="0" w:line="240" w:lineRule="auto"/>
              <w:jc w:val="left"/>
              <w:rPr>
                <w:rFonts w:ascii="Times New Roman" w:hAnsi="Times New Roman" w:cs="Times New Roman"/>
                <w:sz w:val="24"/>
                <w:szCs w:val="24"/>
              </w:rPr>
            </w:pPr>
            <w:r w:rsidRPr="00B075BC">
              <w:rPr>
                <w:rFonts w:ascii="Times New Roman" w:hAnsi="Times New Roman" w:cs="Times New Roman"/>
                <w:sz w:val="24"/>
                <w:szCs w:val="24"/>
              </w:rPr>
              <w:t>2</w:t>
            </w:r>
            <w:r w:rsidR="00871475">
              <w:rPr>
                <w:rFonts w:ascii="Times New Roman" w:hAnsi="Times New Roman" w:cs="Times New Roman"/>
                <w:sz w:val="24"/>
                <w:szCs w:val="24"/>
              </w:rPr>
              <w:t>1</w:t>
            </w:r>
            <w:r w:rsidR="00AD1F43">
              <w:rPr>
                <w:rFonts w:ascii="Times New Roman" w:hAnsi="Times New Roman" w:cs="Times New Roman"/>
                <w:sz w:val="24"/>
                <w:szCs w:val="24"/>
              </w:rPr>
              <w:t xml:space="preserve"> </w:t>
            </w:r>
            <w:r w:rsidR="001B13E5" w:rsidRPr="00B075BC">
              <w:rPr>
                <w:rFonts w:ascii="Times New Roman" w:hAnsi="Times New Roman" w:cs="Times New Roman"/>
                <w:sz w:val="24"/>
                <w:szCs w:val="24"/>
              </w:rPr>
              <w:t>-</w:t>
            </w:r>
            <w:r w:rsidR="00AD1F43">
              <w:rPr>
                <w:rFonts w:ascii="Times New Roman" w:hAnsi="Times New Roman" w:cs="Times New Roman"/>
                <w:sz w:val="24"/>
                <w:szCs w:val="24"/>
              </w:rPr>
              <w:t xml:space="preserve"> </w:t>
            </w:r>
            <w:r w:rsidRPr="00B075BC">
              <w:rPr>
                <w:rFonts w:ascii="Times New Roman" w:hAnsi="Times New Roman" w:cs="Times New Roman"/>
                <w:sz w:val="24"/>
                <w:szCs w:val="24"/>
              </w:rPr>
              <w:t>2</w:t>
            </w:r>
            <w:r w:rsidR="001B13E5" w:rsidRPr="00B075BC">
              <w:rPr>
                <w:rFonts w:ascii="Times New Roman" w:hAnsi="Times New Roman" w:cs="Times New Roman"/>
                <w:sz w:val="24"/>
                <w:szCs w:val="24"/>
              </w:rPr>
              <w:t>3</w:t>
            </w:r>
            <w:r w:rsidR="00F21173" w:rsidRPr="00B075BC">
              <w:rPr>
                <w:rFonts w:ascii="Times New Roman" w:hAnsi="Times New Roman" w:cs="Times New Roman"/>
                <w:sz w:val="24"/>
                <w:szCs w:val="24"/>
              </w:rPr>
              <w:t xml:space="preserve"> </w:t>
            </w:r>
            <w:r w:rsidR="0025740F" w:rsidRPr="00B075BC">
              <w:rPr>
                <w:rFonts w:ascii="Times New Roman" w:hAnsi="Times New Roman" w:cs="Times New Roman"/>
                <w:sz w:val="24"/>
                <w:szCs w:val="24"/>
              </w:rPr>
              <w:t xml:space="preserve">July </w:t>
            </w:r>
            <w:r w:rsidR="00F21173" w:rsidRPr="00B075BC">
              <w:rPr>
                <w:rFonts w:ascii="Times New Roman" w:hAnsi="Times New Roman" w:cs="Times New Roman"/>
                <w:sz w:val="24"/>
                <w:szCs w:val="24"/>
              </w:rPr>
              <w:t>202</w:t>
            </w:r>
            <w:r w:rsidR="00C43B52">
              <w:rPr>
                <w:rFonts w:ascii="Times New Roman" w:hAnsi="Times New Roman" w:cs="Times New Roman"/>
                <w:sz w:val="24"/>
                <w:szCs w:val="24"/>
              </w:rPr>
              <w:t>6</w:t>
            </w:r>
          </w:p>
        </w:tc>
      </w:tr>
      <w:tr w:rsidR="00F21173" w:rsidRPr="00B075BC" w14:paraId="566411F1" w14:textId="77777777" w:rsidTr="404B2CDD">
        <w:trPr>
          <w:trHeight w:val="1142"/>
        </w:trPr>
        <w:tc>
          <w:tcPr>
            <w:tcW w:w="570" w:type="dxa"/>
          </w:tcPr>
          <w:p w14:paraId="69C1D69B" w14:textId="77777777" w:rsidR="00F21173" w:rsidRPr="00B075BC" w:rsidRDefault="00F21173">
            <w:pPr>
              <w:pStyle w:val="Study2"/>
              <w:spacing w:after="0" w:line="240" w:lineRule="auto"/>
              <w:jc w:val="left"/>
              <w:rPr>
                <w:rFonts w:ascii="Times New Roman" w:hAnsi="Times New Roman" w:cs="Times New Roman"/>
                <w:sz w:val="24"/>
                <w:szCs w:val="24"/>
              </w:rPr>
            </w:pPr>
            <w:r w:rsidRPr="00B075BC">
              <w:rPr>
                <w:rFonts w:ascii="Times New Roman" w:hAnsi="Times New Roman" w:cs="Times New Roman"/>
                <w:sz w:val="24"/>
                <w:szCs w:val="24"/>
              </w:rPr>
              <w:t>3</w:t>
            </w:r>
          </w:p>
        </w:tc>
        <w:tc>
          <w:tcPr>
            <w:tcW w:w="6821" w:type="dxa"/>
          </w:tcPr>
          <w:p w14:paraId="4C52ED92" w14:textId="77777777" w:rsidR="00F21173" w:rsidRPr="00B075BC" w:rsidRDefault="00F21173">
            <w:pPr>
              <w:pStyle w:val="Study2"/>
              <w:spacing w:after="0" w:line="240" w:lineRule="auto"/>
              <w:ind w:left="225" w:hanging="225"/>
              <w:jc w:val="left"/>
              <w:rPr>
                <w:rFonts w:ascii="Times New Roman" w:hAnsi="Times New Roman" w:cs="Times New Roman"/>
                <w:b/>
                <w:i/>
                <w:sz w:val="24"/>
                <w:szCs w:val="24"/>
              </w:rPr>
            </w:pPr>
            <w:r w:rsidRPr="00B075BC">
              <w:rPr>
                <w:rFonts w:ascii="Times New Roman" w:hAnsi="Times New Roman" w:cs="Times New Roman"/>
                <w:b/>
                <w:i/>
                <w:sz w:val="24"/>
                <w:szCs w:val="24"/>
              </w:rPr>
              <w:t>Field level work, including:</w:t>
            </w:r>
          </w:p>
          <w:p w14:paraId="2470DE25" w14:textId="77777777" w:rsidR="00F21173" w:rsidRPr="00B075BC" w:rsidRDefault="00F21173">
            <w:pPr>
              <w:pStyle w:val="Study2"/>
              <w:spacing w:after="0" w:line="240" w:lineRule="auto"/>
              <w:ind w:left="225" w:hanging="225"/>
              <w:jc w:val="left"/>
              <w:rPr>
                <w:rFonts w:ascii="Times New Roman" w:hAnsi="Times New Roman" w:cs="Times New Roman"/>
                <w:sz w:val="24"/>
                <w:szCs w:val="24"/>
              </w:rPr>
            </w:pPr>
            <w:r w:rsidRPr="00B075BC">
              <w:rPr>
                <w:rFonts w:ascii="Times New Roman" w:hAnsi="Times New Roman" w:cs="Times New Roman"/>
                <w:sz w:val="24"/>
                <w:szCs w:val="24"/>
              </w:rPr>
              <w:t>a) Meetings with staff of partner organisations,</w:t>
            </w:r>
          </w:p>
          <w:p w14:paraId="1906FEB2" w14:textId="77777777" w:rsidR="00F21173" w:rsidRPr="00B075BC" w:rsidRDefault="00F21173">
            <w:pPr>
              <w:pStyle w:val="Study2"/>
              <w:spacing w:after="0" w:line="240" w:lineRule="auto"/>
              <w:ind w:left="225" w:hanging="225"/>
              <w:jc w:val="left"/>
              <w:rPr>
                <w:rFonts w:ascii="Times New Roman" w:hAnsi="Times New Roman" w:cs="Times New Roman"/>
                <w:sz w:val="24"/>
                <w:szCs w:val="24"/>
              </w:rPr>
            </w:pPr>
            <w:r w:rsidRPr="00B075BC">
              <w:rPr>
                <w:rFonts w:ascii="Times New Roman" w:hAnsi="Times New Roman" w:cs="Times New Roman"/>
                <w:sz w:val="24"/>
                <w:szCs w:val="24"/>
              </w:rPr>
              <w:t>b) data collection as well as</w:t>
            </w:r>
          </w:p>
          <w:p w14:paraId="3C65B08E" w14:textId="77777777" w:rsidR="00F21173" w:rsidRPr="00B075BC" w:rsidRDefault="00F21173">
            <w:pPr>
              <w:pStyle w:val="Study2"/>
              <w:spacing w:after="0" w:line="240" w:lineRule="auto"/>
              <w:ind w:left="225" w:hanging="225"/>
              <w:jc w:val="left"/>
              <w:rPr>
                <w:rFonts w:ascii="Times New Roman" w:hAnsi="Times New Roman" w:cs="Times New Roman"/>
                <w:sz w:val="24"/>
                <w:szCs w:val="24"/>
              </w:rPr>
            </w:pPr>
            <w:r w:rsidRPr="00B075BC">
              <w:rPr>
                <w:rFonts w:ascii="Times New Roman" w:hAnsi="Times New Roman" w:cs="Times New Roman"/>
                <w:sz w:val="24"/>
                <w:szCs w:val="24"/>
              </w:rPr>
              <w:t>c) dialogue meetings (incl. focus group discussions), interviews with representatives of the target group, local authorities, civil society etc.</w:t>
            </w:r>
          </w:p>
        </w:tc>
        <w:tc>
          <w:tcPr>
            <w:tcW w:w="1965" w:type="dxa"/>
          </w:tcPr>
          <w:p w14:paraId="243312C7" w14:textId="045AEAD1" w:rsidR="00F21173" w:rsidRPr="00B075BC" w:rsidRDefault="00CB0A3F">
            <w:pPr>
              <w:pStyle w:val="Study2"/>
              <w:spacing w:after="0" w:line="240" w:lineRule="auto"/>
              <w:jc w:val="left"/>
              <w:rPr>
                <w:rFonts w:ascii="Times New Roman" w:hAnsi="Times New Roman" w:cs="Times New Roman"/>
                <w:sz w:val="24"/>
                <w:szCs w:val="24"/>
              </w:rPr>
            </w:pPr>
            <w:r w:rsidRPr="00B075BC">
              <w:rPr>
                <w:rFonts w:ascii="Times New Roman" w:hAnsi="Times New Roman" w:cs="Times New Roman"/>
                <w:sz w:val="24"/>
                <w:szCs w:val="24"/>
              </w:rPr>
              <w:t>2</w:t>
            </w:r>
            <w:r w:rsidR="00EA7797">
              <w:rPr>
                <w:rFonts w:ascii="Times New Roman" w:hAnsi="Times New Roman" w:cs="Times New Roman"/>
                <w:sz w:val="24"/>
                <w:szCs w:val="24"/>
              </w:rPr>
              <w:t>6</w:t>
            </w:r>
            <w:r w:rsidR="00AD1F43">
              <w:rPr>
                <w:rFonts w:ascii="Times New Roman" w:hAnsi="Times New Roman" w:cs="Times New Roman"/>
                <w:sz w:val="24"/>
                <w:szCs w:val="24"/>
              </w:rPr>
              <w:t xml:space="preserve"> </w:t>
            </w:r>
            <w:r w:rsidR="00F21173" w:rsidRPr="00B075BC">
              <w:rPr>
                <w:rFonts w:ascii="Times New Roman" w:hAnsi="Times New Roman" w:cs="Times New Roman"/>
                <w:sz w:val="24"/>
                <w:szCs w:val="24"/>
              </w:rPr>
              <w:t>-</w:t>
            </w:r>
            <w:r w:rsidR="00AD1F43">
              <w:rPr>
                <w:rFonts w:ascii="Times New Roman" w:hAnsi="Times New Roman" w:cs="Times New Roman"/>
                <w:sz w:val="24"/>
                <w:szCs w:val="24"/>
              </w:rPr>
              <w:t xml:space="preserve"> </w:t>
            </w:r>
            <w:r w:rsidR="00EA7797">
              <w:rPr>
                <w:rFonts w:ascii="Times New Roman" w:hAnsi="Times New Roman" w:cs="Times New Roman"/>
                <w:sz w:val="24"/>
                <w:szCs w:val="24"/>
              </w:rPr>
              <w:t>29</w:t>
            </w:r>
            <w:r w:rsidRPr="00B075BC">
              <w:rPr>
                <w:rFonts w:ascii="Times New Roman" w:hAnsi="Times New Roman" w:cs="Times New Roman"/>
                <w:sz w:val="24"/>
                <w:szCs w:val="24"/>
              </w:rPr>
              <w:t xml:space="preserve"> July </w:t>
            </w:r>
            <w:r w:rsidR="00F21173" w:rsidRPr="00B075BC">
              <w:rPr>
                <w:rFonts w:ascii="Times New Roman" w:hAnsi="Times New Roman" w:cs="Times New Roman"/>
                <w:sz w:val="24"/>
                <w:szCs w:val="24"/>
              </w:rPr>
              <w:t>202</w:t>
            </w:r>
            <w:r w:rsidR="00F572AF">
              <w:rPr>
                <w:rFonts w:ascii="Times New Roman" w:hAnsi="Times New Roman" w:cs="Times New Roman"/>
                <w:sz w:val="24"/>
                <w:szCs w:val="24"/>
              </w:rPr>
              <w:t>6</w:t>
            </w:r>
          </w:p>
        </w:tc>
      </w:tr>
      <w:tr w:rsidR="00F21173" w:rsidRPr="00B075BC" w14:paraId="440ECEAC" w14:textId="77777777" w:rsidTr="404B2CDD">
        <w:trPr>
          <w:trHeight w:val="505"/>
        </w:trPr>
        <w:tc>
          <w:tcPr>
            <w:tcW w:w="570" w:type="dxa"/>
          </w:tcPr>
          <w:p w14:paraId="5811267D" w14:textId="77777777" w:rsidR="00F21173" w:rsidRPr="00B075BC" w:rsidRDefault="00F21173">
            <w:pPr>
              <w:pStyle w:val="Study2"/>
              <w:spacing w:after="0" w:line="240" w:lineRule="auto"/>
              <w:jc w:val="left"/>
              <w:rPr>
                <w:rFonts w:ascii="Times New Roman" w:hAnsi="Times New Roman" w:cs="Times New Roman"/>
                <w:sz w:val="24"/>
                <w:szCs w:val="24"/>
              </w:rPr>
            </w:pPr>
            <w:r w:rsidRPr="00B075BC">
              <w:rPr>
                <w:rFonts w:ascii="Times New Roman" w:hAnsi="Times New Roman" w:cs="Times New Roman"/>
                <w:sz w:val="24"/>
                <w:szCs w:val="24"/>
              </w:rPr>
              <w:t>4</w:t>
            </w:r>
          </w:p>
        </w:tc>
        <w:tc>
          <w:tcPr>
            <w:tcW w:w="6821" w:type="dxa"/>
          </w:tcPr>
          <w:p w14:paraId="24FE5E61" w14:textId="77777777" w:rsidR="00F21173" w:rsidRPr="00B075BC" w:rsidRDefault="00F21173">
            <w:pPr>
              <w:pStyle w:val="Study2"/>
              <w:spacing w:after="0" w:line="240" w:lineRule="auto"/>
              <w:jc w:val="left"/>
              <w:rPr>
                <w:rFonts w:ascii="Times New Roman" w:hAnsi="Times New Roman" w:cs="Times New Roman"/>
                <w:sz w:val="24"/>
                <w:szCs w:val="24"/>
              </w:rPr>
            </w:pPr>
            <w:r w:rsidRPr="00B075BC">
              <w:rPr>
                <w:rFonts w:ascii="Times New Roman" w:hAnsi="Times New Roman" w:cs="Times New Roman"/>
                <w:sz w:val="24"/>
                <w:szCs w:val="24"/>
              </w:rPr>
              <w:t>Preliminary dissemination of findings: a) de-briefing meetings with partner organisations’ staff in working areas and b) with NETZ staff members in Dhaka after field level works</w:t>
            </w:r>
          </w:p>
        </w:tc>
        <w:tc>
          <w:tcPr>
            <w:tcW w:w="1965" w:type="dxa"/>
          </w:tcPr>
          <w:p w14:paraId="4D778854" w14:textId="77777777" w:rsidR="00F21173" w:rsidRPr="00B075BC" w:rsidRDefault="00F21173">
            <w:pPr>
              <w:pStyle w:val="Study2"/>
              <w:spacing w:after="0" w:line="240" w:lineRule="auto"/>
              <w:jc w:val="left"/>
              <w:rPr>
                <w:rFonts w:ascii="Times New Roman" w:hAnsi="Times New Roman" w:cs="Times New Roman"/>
                <w:sz w:val="24"/>
                <w:szCs w:val="24"/>
              </w:rPr>
            </w:pPr>
            <w:r w:rsidRPr="00B075BC">
              <w:rPr>
                <w:rFonts w:ascii="Times New Roman" w:hAnsi="Times New Roman" w:cs="Times New Roman"/>
                <w:sz w:val="24"/>
                <w:szCs w:val="24"/>
              </w:rPr>
              <w:t>a) during visit</w:t>
            </w:r>
          </w:p>
          <w:p w14:paraId="7DB5D73A" w14:textId="7C4CEAA1" w:rsidR="00F21173" w:rsidRPr="00B075BC" w:rsidRDefault="7B6B91F2">
            <w:pPr>
              <w:pStyle w:val="Study2"/>
              <w:spacing w:after="0" w:line="240" w:lineRule="auto"/>
              <w:jc w:val="left"/>
              <w:rPr>
                <w:rFonts w:ascii="Times New Roman" w:hAnsi="Times New Roman" w:cs="Times New Roman"/>
                <w:sz w:val="24"/>
                <w:szCs w:val="24"/>
              </w:rPr>
            </w:pPr>
            <w:r w:rsidRPr="404B2CDD">
              <w:rPr>
                <w:rFonts w:ascii="Times New Roman" w:hAnsi="Times New Roman" w:cs="Times New Roman"/>
                <w:sz w:val="24"/>
                <w:szCs w:val="24"/>
              </w:rPr>
              <w:t>u</w:t>
            </w:r>
            <w:r w:rsidR="46737F71" w:rsidRPr="404B2CDD">
              <w:rPr>
                <w:rFonts w:ascii="Times New Roman" w:hAnsi="Times New Roman" w:cs="Times New Roman"/>
                <w:sz w:val="24"/>
                <w:szCs w:val="24"/>
              </w:rPr>
              <w:t xml:space="preserve">ntil </w:t>
            </w:r>
            <w:r w:rsidR="65501021" w:rsidRPr="404B2CDD">
              <w:rPr>
                <w:rFonts w:ascii="Times New Roman" w:hAnsi="Times New Roman" w:cs="Times New Roman"/>
                <w:sz w:val="24"/>
                <w:szCs w:val="24"/>
              </w:rPr>
              <w:t>29</w:t>
            </w:r>
            <w:r w:rsidR="52C9C19E" w:rsidRPr="404B2CDD">
              <w:rPr>
                <w:rFonts w:ascii="Times New Roman" w:hAnsi="Times New Roman" w:cs="Times New Roman"/>
                <w:sz w:val="24"/>
                <w:szCs w:val="24"/>
              </w:rPr>
              <w:t xml:space="preserve"> July</w:t>
            </w:r>
            <w:r w:rsidR="46737F71" w:rsidRPr="404B2CDD">
              <w:rPr>
                <w:rFonts w:ascii="Times New Roman" w:hAnsi="Times New Roman" w:cs="Times New Roman"/>
                <w:sz w:val="24"/>
                <w:szCs w:val="24"/>
              </w:rPr>
              <w:t xml:space="preserve"> 202</w:t>
            </w:r>
            <w:r w:rsidR="6AEA0118" w:rsidRPr="404B2CDD">
              <w:rPr>
                <w:rFonts w:ascii="Times New Roman" w:hAnsi="Times New Roman" w:cs="Times New Roman"/>
                <w:sz w:val="24"/>
                <w:szCs w:val="24"/>
              </w:rPr>
              <w:t>6</w:t>
            </w:r>
            <w:r w:rsidR="1E1B3D87" w:rsidRPr="404B2CDD">
              <w:rPr>
                <w:rFonts w:ascii="Times New Roman" w:hAnsi="Times New Roman" w:cs="Times New Roman"/>
                <w:sz w:val="24"/>
                <w:szCs w:val="24"/>
              </w:rPr>
              <w:t xml:space="preserve"> and 02 August 2026</w:t>
            </w:r>
          </w:p>
        </w:tc>
      </w:tr>
      <w:tr w:rsidR="00F21173" w:rsidRPr="00B075BC" w14:paraId="37C079DC" w14:textId="77777777" w:rsidTr="404B2CDD">
        <w:trPr>
          <w:trHeight w:val="260"/>
        </w:trPr>
        <w:tc>
          <w:tcPr>
            <w:tcW w:w="570" w:type="dxa"/>
          </w:tcPr>
          <w:p w14:paraId="071B670B" w14:textId="77777777" w:rsidR="00F21173" w:rsidRPr="00B075BC" w:rsidRDefault="00F21173">
            <w:pPr>
              <w:pStyle w:val="Study2"/>
              <w:spacing w:after="0" w:line="240" w:lineRule="auto"/>
              <w:jc w:val="left"/>
              <w:rPr>
                <w:rFonts w:ascii="Times New Roman" w:hAnsi="Times New Roman" w:cs="Times New Roman"/>
                <w:sz w:val="24"/>
                <w:szCs w:val="24"/>
              </w:rPr>
            </w:pPr>
            <w:r w:rsidRPr="00B075BC">
              <w:rPr>
                <w:rFonts w:ascii="Times New Roman" w:hAnsi="Times New Roman" w:cs="Times New Roman"/>
                <w:sz w:val="24"/>
                <w:szCs w:val="24"/>
              </w:rPr>
              <w:lastRenderedPageBreak/>
              <w:t>5</w:t>
            </w:r>
          </w:p>
        </w:tc>
        <w:tc>
          <w:tcPr>
            <w:tcW w:w="6821" w:type="dxa"/>
          </w:tcPr>
          <w:p w14:paraId="414CBA35" w14:textId="77777777" w:rsidR="00F21173" w:rsidRPr="00B075BC" w:rsidRDefault="00F21173">
            <w:pPr>
              <w:pStyle w:val="Study2"/>
              <w:spacing w:after="0" w:line="240" w:lineRule="auto"/>
              <w:jc w:val="left"/>
              <w:rPr>
                <w:rFonts w:ascii="Times New Roman" w:hAnsi="Times New Roman" w:cs="Times New Roman"/>
                <w:sz w:val="24"/>
                <w:szCs w:val="24"/>
              </w:rPr>
            </w:pPr>
            <w:r w:rsidRPr="00B075BC">
              <w:rPr>
                <w:rFonts w:ascii="Times New Roman" w:hAnsi="Times New Roman" w:cs="Times New Roman"/>
                <w:sz w:val="24"/>
                <w:szCs w:val="24"/>
              </w:rPr>
              <w:t xml:space="preserve">Draft report preparation </w:t>
            </w:r>
            <w:proofErr w:type="gramStart"/>
            <w:r w:rsidRPr="00B075BC">
              <w:rPr>
                <w:rFonts w:ascii="Times New Roman" w:hAnsi="Times New Roman" w:cs="Times New Roman"/>
                <w:sz w:val="24"/>
                <w:szCs w:val="24"/>
              </w:rPr>
              <w:t>on the basis of</w:t>
            </w:r>
            <w:proofErr w:type="gramEnd"/>
            <w:r w:rsidRPr="00B075BC">
              <w:rPr>
                <w:rFonts w:ascii="Times New Roman" w:hAnsi="Times New Roman" w:cs="Times New Roman"/>
                <w:sz w:val="24"/>
                <w:szCs w:val="24"/>
              </w:rPr>
              <w:t xml:space="preserve"> mandatory report structure and guiding questions provided by NETZ and submission to NETZ for feedback</w:t>
            </w:r>
          </w:p>
        </w:tc>
        <w:tc>
          <w:tcPr>
            <w:tcW w:w="1965" w:type="dxa"/>
          </w:tcPr>
          <w:p w14:paraId="37905959" w14:textId="3A9AF2E7" w:rsidR="00F21173" w:rsidRPr="00B075BC" w:rsidRDefault="00F21173">
            <w:pPr>
              <w:pStyle w:val="Study2"/>
              <w:spacing w:after="0" w:line="240" w:lineRule="auto"/>
              <w:jc w:val="left"/>
              <w:rPr>
                <w:rFonts w:ascii="Times New Roman" w:hAnsi="Times New Roman" w:cs="Times New Roman"/>
                <w:sz w:val="24"/>
                <w:szCs w:val="24"/>
              </w:rPr>
            </w:pPr>
            <w:r w:rsidRPr="00B075BC">
              <w:rPr>
                <w:rFonts w:ascii="Times New Roman" w:hAnsi="Times New Roman" w:cs="Times New Roman"/>
                <w:sz w:val="24"/>
                <w:szCs w:val="24"/>
              </w:rPr>
              <w:t xml:space="preserve">Until </w:t>
            </w:r>
            <w:r w:rsidR="0086174C" w:rsidRPr="00B075BC">
              <w:rPr>
                <w:rFonts w:ascii="Times New Roman" w:hAnsi="Times New Roman" w:cs="Times New Roman"/>
                <w:sz w:val="24"/>
                <w:szCs w:val="24"/>
              </w:rPr>
              <w:t>0</w:t>
            </w:r>
            <w:r w:rsidR="008A545F">
              <w:rPr>
                <w:rFonts w:ascii="Times New Roman" w:hAnsi="Times New Roman" w:cs="Times New Roman"/>
                <w:sz w:val="24"/>
                <w:szCs w:val="24"/>
              </w:rPr>
              <w:t>9</w:t>
            </w:r>
            <w:r w:rsidR="00256BBD" w:rsidRPr="00B075BC">
              <w:rPr>
                <w:rFonts w:ascii="Times New Roman" w:hAnsi="Times New Roman" w:cs="Times New Roman"/>
                <w:sz w:val="24"/>
                <w:szCs w:val="24"/>
              </w:rPr>
              <w:t xml:space="preserve"> </w:t>
            </w:r>
            <w:r w:rsidR="004D765E" w:rsidRPr="00B075BC">
              <w:rPr>
                <w:rFonts w:ascii="Times New Roman" w:hAnsi="Times New Roman" w:cs="Times New Roman"/>
                <w:sz w:val="24"/>
                <w:szCs w:val="24"/>
              </w:rPr>
              <w:t>August</w:t>
            </w:r>
            <w:r w:rsidR="00256BBD" w:rsidRPr="00B075BC">
              <w:rPr>
                <w:rFonts w:ascii="Times New Roman" w:hAnsi="Times New Roman" w:cs="Times New Roman"/>
                <w:sz w:val="24"/>
                <w:szCs w:val="24"/>
              </w:rPr>
              <w:t xml:space="preserve"> </w:t>
            </w:r>
            <w:r w:rsidRPr="00B075BC">
              <w:rPr>
                <w:rFonts w:ascii="Times New Roman" w:hAnsi="Times New Roman" w:cs="Times New Roman"/>
                <w:sz w:val="24"/>
                <w:szCs w:val="24"/>
              </w:rPr>
              <w:t>202</w:t>
            </w:r>
            <w:r w:rsidR="000D25D4">
              <w:rPr>
                <w:rFonts w:ascii="Times New Roman" w:hAnsi="Times New Roman" w:cs="Times New Roman"/>
                <w:sz w:val="24"/>
                <w:szCs w:val="24"/>
              </w:rPr>
              <w:t>6</w:t>
            </w:r>
          </w:p>
        </w:tc>
      </w:tr>
      <w:tr w:rsidR="00F21173" w:rsidRPr="00B075BC" w14:paraId="0CBC72A5" w14:textId="77777777" w:rsidTr="404B2CDD">
        <w:trPr>
          <w:trHeight w:val="245"/>
        </w:trPr>
        <w:tc>
          <w:tcPr>
            <w:tcW w:w="570" w:type="dxa"/>
          </w:tcPr>
          <w:p w14:paraId="6E0FAE2F" w14:textId="77777777" w:rsidR="00F21173" w:rsidRPr="00B075BC" w:rsidRDefault="00F21173">
            <w:pPr>
              <w:pStyle w:val="Study2"/>
              <w:spacing w:after="0" w:line="240" w:lineRule="auto"/>
              <w:jc w:val="left"/>
              <w:rPr>
                <w:rFonts w:ascii="Times New Roman" w:hAnsi="Times New Roman" w:cs="Times New Roman"/>
                <w:sz w:val="24"/>
                <w:szCs w:val="24"/>
              </w:rPr>
            </w:pPr>
            <w:r w:rsidRPr="00B075BC">
              <w:rPr>
                <w:rFonts w:ascii="Times New Roman" w:hAnsi="Times New Roman" w:cs="Times New Roman"/>
                <w:sz w:val="24"/>
                <w:szCs w:val="24"/>
              </w:rPr>
              <w:t>6</w:t>
            </w:r>
          </w:p>
        </w:tc>
        <w:tc>
          <w:tcPr>
            <w:tcW w:w="6821" w:type="dxa"/>
          </w:tcPr>
          <w:p w14:paraId="6A9A22EE" w14:textId="77777777" w:rsidR="00F21173" w:rsidRPr="00B075BC" w:rsidRDefault="00F21173">
            <w:pPr>
              <w:pStyle w:val="Study2"/>
              <w:spacing w:after="0" w:line="240" w:lineRule="auto"/>
              <w:jc w:val="left"/>
              <w:rPr>
                <w:rFonts w:ascii="Times New Roman" w:hAnsi="Times New Roman" w:cs="Times New Roman"/>
                <w:sz w:val="24"/>
                <w:szCs w:val="24"/>
              </w:rPr>
            </w:pPr>
            <w:r w:rsidRPr="00B075BC">
              <w:rPr>
                <w:rFonts w:ascii="Times New Roman" w:hAnsi="Times New Roman" w:cs="Times New Roman"/>
                <w:sz w:val="24"/>
                <w:szCs w:val="24"/>
              </w:rPr>
              <w:t>Final report preparation, including feedback and suggestions of NETZ</w:t>
            </w:r>
          </w:p>
        </w:tc>
        <w:tc>
          <w:tcPr>
            <w:tcW w:w="1965" w:type="dxa"/>
          </w:tcPr>
          <w:p w14:paraId="363AE6FE" w14:textId="50B8D667" w:rsidR="00F21173" w:rsidRPr="00B075BC" w:rsidRDefault="00256BBD">
            <w:pPr>
              <w:pStyle w:val="Study2"/>
              <w:spacing w:after="0" w:line="240" w:lineRule="auto"/>
              <w:jc w:val="left"/>
              <w:rPr>
                <w:rFonts w:ascii="Times New Roman" w:hAnsi="Times New Roman" w:cs="Times New Roman"/>
                <w:sz w:val="24"/>
                <w:szCs w:val="24"/>
              </w:rPr>
            </w:pPr>
            <w:r w:rsidRPr="00B075BC">
              <w:rPr>
                <w:rFonts w:ascii="Times New Roman" w:hAnsi="Times New Roman" w:cs="Times New Roman"/>
                <w:sz w:val="24"/>
                <w:szCs w:val="24"/>
              </w:rPr>
              <w:t xml:space="preserve">By </w:t>
            </w:r>
            <w:r w:rsidR="00C852CE">
              <w:rPr>
                <w:rFonts w:ascii="Times New Roman" w:hAnsi="Times New Roman" w:cs="Times New Roman"/>
                <w:sz w:val="24"/>
                <w:szCs w:val="24"/>
              </w:rPr>
              <w:t>13</w:t>
            </w:r>
            <w:r w:rsidR="00F21173" w:rsidRPr="00B075BC">
              <w:rPr>
                <w:rFonts w:ascii="Times New Roman" w:hAnsi="Times New Roman" w:cs="Times New Roman"/>
                <w:sz w:val="24"/>
                <w:szCs w:val="24"/>
              </w:rPr>
              <w:t xml:space="preserve"> </w:t>
            </w:r>
            <w:r w:rsidRPr="00B075BC">
              <w:rPr>
                <w:rFonts w:ascii="Times New Roman" w:hAnsi="Times New Roman" w:cs="Times New Roman"/>
                <w:sz w:val="24"/>
                <w:szCs w:val="24"/>
              </w:rPr>
              <w:t>August</w:t>
            </w:r>
            <w:r w:rsidR="00F21173" w:rsidRPr="00B075BC">
              <w:rPr>
                <w:rFonts w:ascii="Times New Roman" w:hAnsi="Times New Roman" w:cs="Times New Roman"/>
                <w:sz w:val="24"/>
                <w:szCs w:val="24"/>
              </w:rPr>
              <w:t xml:space="preserve"> 202</w:t>
            </w:r>
            <w:r w:rsidR="002F67B5">
              <w:rPr>
                <w:rFonts w:ascii="Times New Roman" w:hAnsi="Times New Roman" w:cs="Times New Roman"/>
                <w:sz w:val="24"/>
                <w:szCs w:val="24"/>
              </w:rPr>
              <w:t>6</w:t>
            </w:r>
          </w:p>
        </w:tc>
      </w:tr>
      <w:tr w:rsidR="00F21173" w:rsidRPr="00B075BC" w14:paraId="40C89F70" w14:textId="77777777" w:rsidTr="404B2CDD">
        <w:trPr>
          <w:trHeight w:val="245"/>
        </w:trPr>
        <w:tc>
          <w:tcPr>
            <w:tcW w:w="570" w:type="dxa"/>
          </w:tcPr>
          <w:p w14:paraId="3486EBA6" w14:textId="77777777" w:rsidR="00F21173" w:rsidRPr="00B075BC" w:rsidRDefault="00F21173">
            <w:pPr>
              <w:pStyle w:val="Study2"/>
              <w:spacing w:after="0" w:line="240" w:lineRule="auto"/>
              <w:jc w:val="left"/>
              <w:rPr>
                <w:rFonts w:ascii="Times New Roman" w:hAnsi="Times New Roman" w:cs="Times New Roman"/>
                <w:sz w:val="24"/>
                <w:szCs w:val="24"/>
              </w:rPr>
            </w:pPr>
            <w:r w:rsidRPr="00B075BC">
              <w:rPr>
                <w:rFonts w:ascii="Times New Roman" w:hAnsi="Times New Roman" w:cs="Times New Roman"/>
                <w:sz w:val="24"/>
                <w:szCs w:val="24"/>
              </w:rPr>
              <w:t>7</w:t>
            </w:r>
          </w:p>
        </w:tc>
        <w:tc>
          <w:tcPr>
            <w:tcW w:w="6821" w:type="dxa"/>
          </w:tcPr>
          <w:p w14:paraId="370B12A0" w14:textId="77777777" w:rsidR="00F21173" w:rsidRPr="00B075BC" w:rsidRDefault="00F21173">
            <w:pPr>
              <w:pStyle w:val="Study2"/>
              <w:spacing w:after="0" w:line="240" w:lineRule="auto"/>
              <w:jc w:val="left"/>
              <w:rPr>
                <w:rFonts w:ascii="Times New Roman" w:hAnsi="Times New Roman" w:cs="Times New Roman"/>
                <w:sz w:val="24"/>
                <w:szCs w:val="24"/>
              </w:rPr>
            </w:pPr>
            <w:r w:rsidRPr="00B075BC">
              <w:rPr>
                <w:rFonts w:ascii="Times New Roman" w:hAnsi="Times New Roman" w:cs="Times New Roman"/>
                <w:sz w:val="24"/>
                <w:szCs w:val="24"/>
              </w:rPr>
              <w:t>Submission of final report</w:t>
            </w:r>
          </w:p>
        </w:tc>
        <w:tc>
          <w:tcPr>
            <w:tcW w:w="1965" w:type="dxa"/>
          </w:tcPr>
          <w:p w14:paraId="3ED65D5D" w14:textId="148B50A1" w:rsidR="00F21173" w:rsidRPr="00B075BC" w:rsidRDefault="00F21173">
            <w:pPr>
              <w:pStyle w:val="Study2"/>
              <w:spacing w:after="0" w:line="240" w:lineRule="auto"/>
              <w:jc w:val="left"/>
              <w:rPr>
                <w:rFonts w:ascii="Times New Roman" w:hAnsi="Times New Roman" w:cs="Times New Roman"/>
                <w:sz w:val="24"/>
                <w:szCs w:val="24"/>
              </w:rPr>
            </w:pPr>
            <w:r w:rsidRPr="00B075BC">
              <w:rPr>
                <w:rFonts w:ascii="Times New Roman" w:hAnsi="Times New Roman" w:cs="Times New Roman"/>
                <w:sz w:val="24"/>
                <w:szCs w:val="24"/>
              </w:rPr>
              <w:t xml:space="preserve">Until </w:t>
            </w:r>
            <w:r w:rsidR="15C71307" w:rsidRPr="60D2466F">
              <w:rPr>
                <w:rFonts w:ascii="Times New Roman" w:hAnsi="Times New Roman" w:cs="Times New Roman"/>
                <w:sz w:val="24"/>
                <w:szCs w:val="24"/>
              </w:rPr>
              <w:t>1</w:t>
            </w:r>
            <w:r w:rsidR="2095BC9C" w:rsidRPr="60D2466F">
              <w:rPr>
                <w:rFonts w:ascii="Times New Roman" w:hAnsi="Times New Roman" w:cs="Times New Roman"/>
                <w:sz w:val="24"/>
                <w:szCs w:val="24"/>
              </w:rPr>
              <w:t>7</w:t>
            </w:r>
            <w:r w:rsidRPr="00B075BC">
              <w:rPr>
                <w:rFonts w:ascii="Times New Roman" w:hAnsi="Times New Roman" w:cs="Times New Roman"/>
                <w:sz w:val="24"/>
                <w:szCs w:val="24"/>
              </w:rPr>
              <w:t xml:space="preserve"> </w:t>
            </w:r>
            <w:r w:rsidR="00256BBD" w:rsidRPr="00B075BC">
              <w:rPr>
                <w:rFonts w:ascii="Times New Roman" w:hAnsi="Times New Roman" w:cs="Times New Roman"/>
                <w:sz w:val="24"/>
                <w:szCs w:val="24"/>
              </w:rPr>
              <w:t xml:space="preserve">August </w:t>
            </w:r>
            <w:r w:rsidRPr="00B075BC">
              <w:rPr>
                <w:rFonts w:ascii="Times New Roman" w:hAnsi="Times New Roman" w:cs="Times New Roman"/>
                <w:sz w:val="24"/>
                <w:szCs w:val="24"/>
              </w:rPr>
              <w:t>202</w:t>
            </w:r>
            <w:r w:rsidR="004A0832">
              <w:rPr>
                <w:rFonts w:ascii="Times New Roman" w:hAnsi="Times New Roman" w:cs="Times New Roman"/>
                <w:sz w:val="24"/>
                <w:szCs w:val="24"/>
              </w:rPr>
              <w:t>6</w:t>
            </w:r>
          </w:p>
        </w:tc>
      </w:tr>
    </w:tbl>
    <w:p w14:paraId="75F887CD" w14:textId="77777777" w:rsidR="00F21173" w:rsidRPr="00B075BC" w:rsidRDefault="00F21173" w:rsidP="00F21173">
      <w:pPr>
        <w:contextualSpacing/>
        <w:jc w:val="both"/>
        <w:rPr>
          <w:color w:val="000000"/>
          <w:lang w:val="en-GB"/>
        </w:rPr>
      </w:pPr>
    </w:p>
    <w:p w14:paraId="5A7EAB66" w14:textId="77777777" w:rsidR="00F21173" w:rsidRPr="00B075BC" w:rsidRDefault="00F21173" w:rsidP="00F21173">
      <w:pPr>
        <w:contextualSpacing/>
        <w:jc w:val="both"/>
        <w:rPr>
          <w:b/>
          <w:bCs/>
          <w:color w:val="000000"/>
          <w:lang w:val="en-GB"/>
        </w:rPr>
      </w:pPr>
      <w:r w:rsidRPr="00B075BC">
        <w:rPr>
          <w:b/>
          <w:bCs/>
          <w:color w:val="000000"/>
          <w:lang w:val="en-GB"/>
        </w:rPr>
        <w:t>5. Outputs and deliverables</w:t>
      </w:r>
    </w:p>
    <w:p w14:paraId="47CAC400" w14:textId="43F38A74" w:rsidR="00F21173" w:rsidRDefault="00547295" w:rsidP="00F21173">
      <w:pPr>
        <w:contextualSpacing/>
        <w:jc w:val="both"/>
      </w:pPr>
      <w:r>
        <w:t>The consultant will prepare a report in English that presents the findings and addresses all guiding questions outlined in Annex 1. The report must adhere to the structure specified in Chapter 3.2 and have a maximum length of 30 pages (content only). Additional documents and case studies should be included in the report's annex.</w:t>
      </w:r>
    </w:p>
    <w:p w14:paraId="044F2281" w14:textId="77777777" w:rsidR="00547295" w:rsidRPr="00B075BC" w:rsidRDefault="00547295" w:rsidP="00F21173">
      <w:pPr>
        <w:contextualSpacing/>
        <w:jc w:val="both"/>
        <w:rPr>
          <w:bCs/>
          <w:color w:val="000000"/>
          <w:lang w:val="en-GB"/>
        </w:rPr>
      </w:pPr>
    </w:p>
    <w:p w14:paraId="48CE1E2C" w14:textId="77777777" w:rsidR="00F21173" w:rsidRDefault="00F21173" w:rsidP="00F21173">
      <w:pPr>
        <w:contextualSpacing/>
        <w:jc w:val="both"/>
        <w:rPr>
          <w:b/>
          <w:lang w:val="en-GB"/>
        </w:rPr>
      </w:pPr>
      <w:r w:rsidRPr="00B075BC">
        <w:rPr>
          <w:b/>
          <w:lang w:val="en-GB"/>
        </w:rPr>
        <w:t>6. Expert profile of the evaluation team</w:t>
      </w:r>
    </w:p>
    <w:p w14:paraId="5C1DB560" w14:textId="3C19E78C" w:rsidR="00C1541E" w:rsidRDefault="00C1541E" w:rsidP="00D04ED3">
      <w:pPr>
        <w:pStyle w:val="NormalWeb"/>
        <w:spacing w:before="0" w:beforeAutospacing="0"/>
        <w:jc w:val="both"/>
      </w:pPr>
      <w:r>
        <w:t>The evaluation team consists of one independent consultant with expertise in climate change adaptation and mitigation, particularly in relation to livelihoods, human rights, and gender issues. The consultant may hire an assistant as needed, including during field visits. The consultant is allocated 2</w:t>
      </w:r>
      <w:r w:rsidR="008015FD">
        <w:t>0</w:t>
      </w:r>
      <w:r>
        <w:t xml:space="preserve"> working days (including 2 travel days) to complete the </w:t>
      </w:r>
      <w:r w:rsidR="00DA1803">
        <w:t>assignment</w:t>
      </w:r>
      <w:r>
        <w:t>. Responsibilities include steering the feasibility study process, coordinating with NETZ and partner NGOs, compiling a draft report in English, and finalizing the report based on NETZ's feedback.</w:t>
      </w:r>
    </w:p>
    <w:p w14:paraId="7AC408F3" w14:textId="77777777" w:rsidR="00C1541E" w:rsidRDefault="00C1541E" w:rsidP="00C1541E">
      <w:pPr>
        <w:pStyle w:val="NormalWeb"/>
      </w:pPr>
      <w:r>
        <w:rPr>
          <w:rStyle w:val="Strong"/>
          <w:rFonts w:eastAsiaTheme="majorEastAsia"/>
        </w:rPr>
        <w:t>Required qualifications for the consultant:</w:t>
      </w:r>
    </w:p>
    <w:p w14:paraId="4D9853C1" w14:textId="77777777" w:rsidR="00C1541E" w:rsidRDefault="00C1541E" w:rsidP="0098503A">
      <w:pPr>
        <w:numPr>
          <w:ilvl w:val="0"/>
          <w:numId w:val="7"/>
        </w:numPr>
        <w:spacing w:before="100" w:beforeAutospacing="1" w:after="100" w:afterAutospacing="1"/>
        <w:jc w:val="both"/>
      </w:pPr>
      <w:r>
        <w:t>University degree in any discipline; priority given to Social Science/Agriculture Science.</w:t>
      </w:r>
    </w:p>
    <w:p w14:paraId="67D1E828" w14:textId="77777777" w:rsidR="00C1541E" w:rsidRDefault="00C1541E" w:rsidP="0098503A">
      <w:pPr>
        <w:numPr>
          <w:ilvl w:val="0"/>
          <w:numId w:val="7"/>
        </w:numPr>
        <w:spacing w:before="100" w:beforeAutospacing="1" w:after="100" w:afterAutospacing="1"/>
        <w:jc w:val="both"/>
      </w:pPr>
      <w:r>
        <w:t xml:space="preserve">Professional experience in </w:t>
      </w:r>
      <w:proofErr w:type="gramStart"/>
      <w:r>
        <w:t>climate change adaptation</w:t>
      </w:r>
      <w:proofErr w:type="gramEnd"/>
      <w:r>
        <w:t>, livelihoods, and human rights, including policy dialogue.</w:t>
      </w:r>
    </w:p>
    <w:p w14:paraId="7AC42696" w14:textId="77777777" w:rsidR="00C1541E" w:rsidRDefault="00C1541E" w:rsidP="0098503A">
      <w:pPr>
        <w:numPr>
          <w:ilvl w:val="0"/>
          <w:numId w:val="7"/>
        </w:numPr>
        <w:spacing w:before="100" w:beforeAutospacing="1" w:after="100" w:afterAutospacing="1"/>
        <w:jc w:val="both"/>
      </w:pPr>
      <w:r>
        <w:t>Experience working with marginalized communities and advocacy.</w:t>
      </w:r>
    </w:p>
    <w:p w14:paraId="52094373" w14:textId="77777777" w:rsidR="00C1541E" w:rsidRDefault="00C1541E" w:rsidP="0098503A">
      <w:pPr>
        <w:numPr>
          <w:ilvl w:val="0"/>
          <w:numId w:val="7"/>
        </w:numPr>
        <w:spacing w:before="100" w:beforeAutospacing="1" w:after="100" w:afterAutospacing="1"/>
        <w:jc w:val="both"/>
      </w:pPr>
      <w:r>
        <w:t>Willingness and ability to conduct required field visits.</w:t>
      </w:r>
    </w:p>
    <w:p w14:paraId="486D6F77" w14:textId="77777777" w:rsidR="00C1541E" w:rsidRDefault="00C1541E" w:rsidP="0098503A">
      <w:pPr>
        <w:numPr>
          <w:ilvl w:val="0"/>
          <w:numId w:val="7"/>
        </w:numPr>
        <w:spacing w:before="100" w:beforeAutospacing="1" w:after="100" w:afterAutospacing="1"/>
        <w:jc w:val="both"/>
      </w:pPr>
      <w:r>
        <w:t>Excellent oral and written English skills.</w:t>
      </w:r>
    </w:p>
    <w:p w14:paraId="2959F628" w14:textId="77777777" w:rsidR="00C1541E" w:rsidRDefault="00C1541E" w:rsidP="00C1541E">
      <w:pPr>
        <w:pStyle w:val="NormalWeb"/>
      </w:pPr>
      <w:r>
        <w:rPr>
          <w:rStyle w:val="Strong"/>
          <w:rFonts w:eastAsiaTheme="majorEastAsia"/>
        </w:rPr>
        <w:t>Additional required qualifications:</w:t>
      </w:r>
    </w:p>
    <w:p w14:paraId="7B4532C5" w14:textId="77777777" w:rsidR="00C1541E" w:rsidRDefault="00C1541E" w:rsidP="0098503A">
      <w:pPr>
        <w:numPr>
          <w:ilvl w:val="0"/>
          <w:numId w:val="8"/>
        </w:numPr>
        <w:spacing w:before="100" w:beforeAutospacing="1" w:after="100" w:afterAutospacing="1"/>
        <w:jc w:val="both"/>
      </w:pPr>
      <w:r>
        <w:t>Proven track record in leading a study team.</w:t>
      </w:r>
    </w:p>
    <w:p w14:paraId="28B9B265" w14:textId="77777777" w:rsidR="00C1541E" w:rsidRDefault="00C1541E" w:rsidP="0098503A">
      <w:pPr>
        <w:numPr>
          <w:ilvl w:val="0"/>
          <w:numId w:val="8"/>
        </w:numPr>
        <w:spacing w:before="100" w:beforeAutospacing="1" w:after="100" w:afterAutospacing="1"/>
        <w:jc w:val="both"/>
      </w:pPr>
      <w:r>
        <w:t>Proven experience in research, feasibility studies, situation analysis, baseline and evaluation surveys, and report writing.</w:t>
      </w:r>
    </w:p>
    <w:p w14:paraId="072B90BB" w14:textId="77777777" w:rsidR="00F21173" w:rsidRPr="00B075BC" w:rsidRDefault="00F21173" w:rsidP="00F21173">
      <w:pPr>
        <w:contextualSpacing/>
        <w:jc w:val="both"/>
        <w:rPr>
          <w:lang w:val="en-GB"/>
        </w:rPr>
      </w:pPr>
    </w:p>
    <w:p w14:paraId="2D5C122D" w14:textId="77777777" w:rsidR="00F21173" w:rsidRPr="00B075BC" w:rsidRDefault="00F21173" w:rsidP="00F21173">
      <w:pPr>
        <w:ind w:left="567" w:hanging="567"/>
        <w:contextualSpacing/>
        <w:jc w:val="both"/>
        <w:rPr>
          <w:b/>
          <w:color w:val="000000"/>
          <w:lang w:val="en-GB"/>
        </w:rPr>
      </w:pPr>
      <w:r w:rsidRPr="00B075BC">
        <w:rPr>
          <w:b/>
          <w:color w:val="000000"/>
          <w:lang w:val="en-GB"/>
        </w:rPr>
        <w:t>7. Tentative timetable</w:t>
      </w:r>
    </w:p>
    <w:p w14:paraId="5E8FDA85" w14:textId="1307CA4F" w:rsidR="00F21173" w:rsidRDefault="00990C0C" w:rsidP="00FE6E51">
      <w:pPr>
        <w:contextualSpacing/>
        <w:jc w:val="both"/>
      </w:pPr>
      <w:r>
        <w:t>The evaluation work consists of a total of 2</w:t>
      </w:r>
      <w:r w:rsidR="00D2594B">
        <w:t>0</w:t>
      </w:r>
      <w:r>
        <w:t xml:space="preserve"> person-days, including </w:t>
      </w:r>
      <w:r w:rsidR="00583B78">
        <w:t>6</w:t>
      </w:r>
      <w:r>
        <w:t xml:space="preserve"> days for field visits, and will be conducted in </w:t>
      </w:r>
      <w:r w:rsidR="00EE3E75">
        <w:t>4 upazila in two</w:t>
      </w:r>
      <w:r>
        <w:t xml:space="preserve"> districts, one district per partner organization. The </w:t>
      </w:r>
      <w:r w:rsidR="00B836A2">
        <w:t xml:space="preserve">consultant </w:t>
      </w:r>
      <w:r>
        <w:t xml:space="preserve">will commence work on </w:t>
      </w:r>
      <w:r w:rsidR="008A00B9">
        <w:t>2</w:t>
      </w:r>
      <w:r w:rsidR="00B836A2">
        <w:t>0</w:t>
      </w:r>
      <w:r>
        <w:t xml:space="preserve"> July 202</w:t>
      </w:r>
      <w:r w:rsidR="00B836A2">
        <w:t>6</w:t>
      </w:r>
      <w:r>
        <w:t xml:space="preserve"> and submit the draft report by </w:t>
      </w:r>
      <w:r w:rsidR="00FD3F1E">
        <w:t>9</w:t>
      </w:r>
      <w:r>
        <w:t xml:space="preserve"> August 202</w:t>
      </w:r>
      <w:r w:rsidR="00B836A2">
        <w:t>6</w:t>
      </w:r>
      <w:r>
        <w:t xml:space="preserve">. The final feasibility study report will be submitted by </w:t>
      </w:r>
      <w:r w:rsidR="008A00B9">
        <w:t>1</w:t>
      </w:r>
      <w:r w:rsidR="00FD3F1E">
        <w:t>5</w:t>
      </w:r>
      <w:r>
        <w:t xml:space="preserve"> August 202</w:t>
      </w:r>
      <w:r w:rsidR="00B836A2">
        <w:t>6</w:t>
      </w:r>
      <w:r>
        <w:t xml:space="preserve">. Partner organizations will provide logistical support during </w:t>
      </w:r>
      <w:r w:rsidR="00FD3F1E">
        <w:t>field</w:t>
      </w:r>
      <w:r>
        <w:t xml:space="preserve"> visits. The detailed schedule for the feasibility study will be finalized in cooperation with the selected consultant, based on the following template.</w:t>
      </w:r>
    </w:p>
    <w:p w14:paraId="178B9BA2" w14:textId="77777777" w:rsidR="00990C0C" w:rsidRPr="00B075BC" w:rsidRDefault="00990C0C" w:rsidP="00F21173">
      <w:pPr>
        <w:contextualSpacing/>
        <w:jc w:val="both"/>
        <w:rPr>
          <w:lang w:val="en-GB"/>
        </w:rPr>
      </w:pPr>
    </w:p>
    <w:p w14:paraId="64C60382" w14:textId="77777777" w:rsidR="00AE01C6" w:rsidRDefault="00AE01C6" w:rsidP="00F21173">
      <w:pPr>
        <w:pStyle w:val="Study2"/>
        <w:spacing w:after="0" w:line="240" w:lineRule="auto"/>
        <w:contextualSpacing/>
        <w:jc w:val="left"/>
        <w:rPr>
          <w:rFonts w:ascii="Times New Roman" w:hAnsi="Times New Roman" w:cs="Times New Roman"/>
          <w:b/>
          <w:i/>
          <w:sz w:val="24"/>
          <w:szCs w:val="24"/>
        </w:rPr>
      </w:pPr>
    </w:p>
    <w:p w14:paraId="54377F01" w14:textId="77777777" w:rsidR="00AE01C6" w:rsidRDefault="00AE01C6" w:rsidP="00F21173">
      <w:pPr>
        <w:pStyle w:val="Study2"/>
        <w:spacing w:after="0" w:line="240" w:lineRule="auto"/>
        <w:contextualSpacing/>
        <w:jc w:val="left"/>
        <w:rPr>
          <w:rFonts w:ascii="Times New Roman" w:hAnsi="Times New Roman" w:cs="Times New Roman"/>
          <w:b/>
          <w:i/>
          <w:sz w:val="24"/>
          <w:szCs w:val="24"/>
        </w:rPr>
      </w:pPr>
    </w:p>
    <w:p w14:paraId="36C72C31" w14:textId="77777777" w:rsidR="00AE01C6" w:rsidRDefault="00AE01C6" w:rsidP="00F21173">
      <w:pPr>
        <w:pStyle w:val="Study2"/>
        <w:spacing w:after="0" w:line="240" w:lineRule="auto"/>
        <w:contextualSpacing/>
        <w:jc w:val="left"/>
        <w:rPr>
          <w:rFonts w:ascii="Times New Roman" w:hAnsi="Times New Roman" w:cs="Times New Roman"/>
          <w:b/>
          <w:i/>
          <w:sz w:val="24"/>
          <w:szCs w:val="24"/>
        </w:rPr>
      </w:pPr>
    </w:p>
    <w:p w14:paraId="4FBF1A60" w14:textId="70102778" w:rsidR="00F21173" w:rsidRPr="00B075BC" w:rsidRDefault="00F21173" w:rsidP="00F21173">
      <w:pPr>
        <w:pStyle w:val="Study2"/>
        <w:spacing w:after="0" w:line="240" w:lineRule="auto"/>
        <w:contextualSpacing/>
        <w:jc w:val="left"/>
        <w:rPr>
          <w:rFonts w:ascii="Times New Roman" w:hAnsi="Times New Roman" w:cs="Times New Roman"/>
          <w:b/>
          <w:i/>
          <w:sz w:val="24"/>
          <w:szCs w:val="24"/>
        </w:rPr>
      </w:pPr>
      <w:r w:rsidRPr="00B075BC">
        <w:rPr>
          <w:rFonts w:ascii="Times New Roman" w:hAnsi="Times New Roman" w:cs="Times New Roman"/>
          <w:b/>
          <w:i/>
          <w:sz w:val="24"/>
          <w:szCs w:val="24"/>
        </w:rPr>
        <w:lastRenderedPageBreak/>
        <w:t>Template for detailed feasibility study schedule and quantity structure</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417"/>
        <w:gridCol w:w="889"/>
        <w:gridCol w:w="1276"/>
        <w:gridCol w:w="1379"/>
      </w:tblGrid>
      <w:tr w:rsidR="00F21173" w:rsidRPr="00B075BC" w14:paraId="6AC256FD" w14:textId="77777777" w:rsidTr="29C241B5">
        <w:trPr>
          <w:tblHeader/>
        </w:trPr>
        <w:tc>
          <w:tcPr>
            <w:tcW w:w="567" w:type="dxa"/>
            <w:shd w:val="clear" w:color="auto" w:fill="D9D9D9" w:themeFill="background1" w:themeFillShade="D9"/>
          </w:tcPr>
          <w:p w14:paraId="7163AA97" w14:textId="77777777" w:rsidR="00F21173" w:rsidRPr="00B075BC" w:rsidRDefault="00F21173">
            <w:pPr>
              <w:contextualSpacing/>
              <w:jc w:val="center"/>
              <w:rPr>
                <w:b/>
                <w:lang w:val="en-GB"/>
              </w:rPr>
            </w:pPr>
            <w:r w:rsidRPr="00B075BC">
              <w:rPr>
                <w:b/>
                <w:lang w:val="en-GB"/>
              </w:rPr>
              <w:t>No.</w:t>
            </w:r>
          </w:p>
        </w:tc>
        <w:tc>
          <w:tcPr>
            <w:tcW w:w="3686" w:type="dxa"/>
            <w:shd w:val="clear" w:color="auto" w:fill="D9D9D9" w:themeFill="background1" w:themeFillShade="D9"/>
          </w:tcPr>
          <w:p w14:paraId="17945B45" w14:textId="77777777" w:rsidR="00F21173" w:rsidRPr="00B075BC" w:rsidRDefault="00F21173">
            <w:pPr>
              <w:contextualSpacing/>
              <w:jc w:val="center"/>
              <w:rPr>
                <w:b/>
                <w:lang w:val="en-GB"/>
              </w:rPr>
            </w:pPr>
            <w:r w:rsidRPr="00B075BC">
              <w:rPr>
                <w:b/>
                <w:lang w:val="en-GB"/>
              </w:rPr>
              <w:t>Activity</w:t>
            </w:r>
          </w:p>
        </w:tc>
        <w:tc>
          <w:tcPr>
            <w:tcW w:w="1417" w:type="dxa"/>
            <w:shd w:val="clear" w:color="auto" w:fill="D9D9D9" w:themeFill="background1" w:themeFillShade="D9"/>
          </w:tcPr>
          <w:p w14:paraId="317E15A6" w14:textId="77777777" w:rsidR="00F21173" w:rsidRPr="00B075BC" w:rsidRDefault="00F21173">
            <w:pPr>
              <w:ind w:right="-147"/>
              <w:contextualSpacing/>
              <w:jc w:val="center"/>
              <w:rPr>
                <w:b/>
                <w:lang w:val="en-GB"/>
              </w:rPr>
            </w:pPr>
            <w:r w:rsidRPr="00B075BC">
              <w:rPr>
                <w:b/>
                <w:lang w:val="en-GB"/>
              </w:rPr>
              <w:t>Date</w:t>
            </w:r>
          </w:p>
        </w:tc>
        <w:tc>
          <w:tcPr>
            <w:tcW w:w="889" w:type="dxa"/>
            <w:shd w:val="clear" w:color="auto" w:fill="D9D9D9" w:themeFill="background1" w:themeFillShade="D9"/>
          </w:tcPr>
          <w:p w14:paraId="4D1141E4" w14:textId="77777777" w:rsidR="00F21173" w:rsidRPr="00B075BC" w:rsidRDefault="00F21173">
            <w:pPr>
              <w:contextualSpacing/>
              <w:jc w:val="center"/>
              <w:rPr>
                <w:b/>
                <w:lang w:val="en-GB"/>
              </w:rPr>
            </w:pPr>
            <w:r w:rsidRPr="00B075BC">
              <w:rPr>
                <w:b/>
                <w:lang w:val="en-GB"/>
              </w:rPr>
              <w:t>No. of days</w:t>
            </w:r>
          </w:p>
        </w:tc>
        <w:tc>
          <w:tcPr>
            <w:tcW w:w="1276" w:type="dxa"/>
            <w:shd w:val="clear" w:color="auto" w:fill="D9D9D9" w:themeFill="background1" w:themeFillShade="D9"/>
          </w:tcPr>
          <w:p w14:paraId="2A19B7B3" w14:textId="77777777" w:rsidR="00F21173" w:rsidRPr="00B075BC" w:rsidRDefault="00F21173">
            <w:pPr>
              <w:ind w:left="-108" w:right="-108"/>
              <w:contextualSpacing/>
              <w:jc w:val="center"/>
              <w:rPr>
                <w:b/>
                <w:lang w:val="en-GB"/>
              </w:rPr>
            </w:pPr>
            <w:r w:rsidRPr="00B075BC">
              <w:rPr>
                <w:b/>
                <w:lang w:val="en-GB"/>
              </w:rPr>
              <w:t>Total person/days</w:t>
            </w:r>
          </w:p>
        </w:tc>
        <w:tc>
          <w:tcPr>
            <w:tcW w:w="1379" w:type="dxa"/>
            <w:shd w:val="clear" w:color="auto" w:fill="D9D9D9" w:themeFill="background1" w:themeFillShade="D9"/>
          </w:tcPr>
          <w:p w14:paraId="37A908C6" w14:textId="77777777" w:rsidR="00F21173" w:rsidRPr="00B075BC" w:rsidRDefault="00F21173">
            <w:pPr>
              <w:ind w:right="-108"/>
              <w:contextualSpacing/>
              <w:jc w:val="center"/>
              <w:rPr>
                <w:b/>
                <w:lang w:val="en-GB"/>
              </w:rPr>
            </w:pPr>
            <w:r w:rsidRPr="00B075BC">
              <w:rPr>
                <w:b/>
                <w:lang w:val="en-GB"/>
              </w:rPr>
              <w:t>Responsible person</w:t>
            </w:r>
          </w:p>
        </w:tc>
      </w:tr>
      <w:tr w:rsidR="00F21173" w:rsidRPr="00B075BC" w14:paraId="68A5A0F1" w14:textId="77777777">
        <w:tc>
          <w:tcPr>
            <w:tcW w:w="567" w:type="dxa"/>
          </w:tcPr>
          <w:p w14:paraId="3C90178E" w14:textId="77777777" w:rsidR="00F21173" w:rsidRPr="00B075BC" w:rsidRDefault="00F21173">
            <w:pPr>
              <w:contextualSpacing/>
              <w:rPr>
                <w:lang w:val="en-GB"/>
              </w:rPr>
            </w:pPr>
            <w:r w:rsidRPr="00B075BC">
              <w:rPr>
                <w:lang w:val="en-GB"/>
              </w:rPr>
              <w:t>1</w:t>
            </w:r>
          </w:p>
        </w:tc>
        <w:tc>
          <w:tcPr>
            <w:tcW w:w="3686" w:type="dxa"/>
          </w:tcPr>
          <w:p w14:paraId="7EE46EC9" w14:textId="77777777" w:rsidR="00F21173" w:rsidRPr="00B075BC" w:rsidRDefault="00F21173">
            <w:pPr>
              <w:rPr>
                <w:lang w:val="en-GB"/>
              </w:rPr>
            </w:pPr>
            <w:r w:rsidRPr="00B075BC">
              <w:rPr>
                <w:lang w:val="en-GB"/>
              </w:rPr>
              <w:t xml:space="preserve">Preliminary meeting and discussions </w:t>
            </w:r>
          </w:p>
        </w:tc>
        <w:tc>
          <w:tcPr>
            <w:tcW w:w="1417" w:type="dxa"/>
          </w:tcPr>
          <w:p w14:paraId="1C7B0ACF" w14:textId="37C62618" w:rsidR="00314624" w:rsidRPr="00B075BC" w:rsidRDefault="000335B8">
            <w:pPr>
              <w:ind w:right="-147"/>
              <w:contextualSpacing/>
              <w:rPr>
                <w:lang w:val="en-GB"/>
              </w:rPr>
            </w:pPr>
            <w:r w:rsidRPr="00B075BC">
              <w:rPr>
                <w:lang w:val="en-GB"/>
              </w:rPr>
              <w:t>2</w:t>
            </w:r>
            <w:r w:rsidR="00310343">
              <w:rPr>
                <w:lang w:val="en-GB"/>
              </w:rPr>
              <w:t>0</w:t>
            </w:r>
            <w:r w:rsidRPr="00B075BC">
              <w:rPr>
                <w:lang w:val="en-GB"/>
              </w:rPr>
              <w:t>.07.</w:t>
            </w:r>
            <w:r w:rsidR="00080E7E" w:rsidRPr="00B075BC">
              <w:rPr>
                <w:lang w:val="en-GB"/>
              </w:rPr>
              <w:t>20</w:t>
            </w:r>
            <w:r w:rsidRPr="00B075BC">
              <w:rPr>
                <w:lang w:val="en-GB"/>
              </w:rPr>
              <w:t>2</w:t>
            </w:r>
            <w:r w:rsidR="00033472">
              <w:rPr>
                <w:lang w:val="en-GB"/>
              </w:rPr>
              <w:t>6</w:t>
            </w:r>
          </w:p>
        </w:tc>
        <w:tc>
          <w:tcPr>
            <w:tcW w:w="889" w:type="dxa"/>
          </w:tcPr>
          <w:p w14:paraId="375A6F5B" w14:textId="6D5D461C" w:rsidR="00F21173" w:rsidRPr="00B075BC" w:rsidRDefault="00995779">
            <w:pPr>
              <w:contextualSpacing/>
              <w:jc w:val="center"/>
              <w:rPr>
                <w:lang w:val="en-GB"/>
              </w:rPr>
            </w:pPr>
            <w:r>
              <w:rPr>
                <w:lang w:val="en-GB"/>
              </w:rPr>
              <w:t>.5</w:t>
            </w:r>
          </w:p>
        </w:tc>
        <w:tc>
          <w:tcPr>
            <w:tcW w:w="1276" w:type="dxa"/>
          </w:tcPr>
          <w:p w14:paraId="236ECCD4" w14:textId="469BBADB" w:rsidR="00F21173" w:rsidRPr="00B075BC" w:rsidRDefault="00995779">
            <w:pPr>
              <w:contextualSpacing/>
              <w:jc w:val="center"/>
              <w:rPr>
                <w:lang w:val="en-GB"/>
              </w:rPr>
            </w:pPr>
            <w:r>
              <w:rPr>
                <w:lang w:val="en-GB"/>
              </w:rPr>
              <w:t>.5</w:t>
            </w:r>
          </w:p>
        </w:tc>
        <w:tc>
          <w:tcPr>
            <w:tcW w:w="1379" w:type="dxa"/>
          </w:tcPr>
          <w:p w14:paraId="6CB4A187" w14:textId="77777777" w:rsidR="00F21173" w:rsidRPr="00B075BC" w:rsidRDefault="00F21173">
            <w:pPr>
              <w:contextualSpacing/>
              <w:rPr>
                <w:lang w:val="en-GB"/>
              </w:rPr>
            </w:pPr>
            <w:r w:rsidRPr="00B075BC">
              <w:rPr>
                <w:lang w:val="en-GB"/>
              </w:rPr>
              <w:t>NETZ staff</w:t>
            </w:r>
          </w:p>
        </w:tc>
      </w:tr>
      <w:tr w:rsidR="00F21173" w:rsidRPr="00B075BC" w14:paraId="19D8A87E" w14:textId="77777777">
        <w:tc>
          <w:tcPr>
            <w:tcW w:w="567" w:type="dxa"/>
          </w:tcPr>
          <w:p w14:paraId="351C22C8" w14:textId="77777777" w:rsidR="00F21173" w:rsidRPr="00B075BC" w:rsidRDefault="00F21173">
            <w:pPr>
              <w:contextualSpacing/>
              <w:rPr>
                <w:lang w:val="en-GB"/>
              </w:rPr>
            </w:pPr>
            <w:r w:rsidRPr="00B075BC">
              <w:rPr>
                <w:lang w:val="en-GB"/>
              </w:rPr>
              <w:t>2</w:t>
            </w:r>
          </w:p>
        </w:tc>
        <w:tc>
          <w:tcPr>
            <w:tcW w:w="3686" w:type="dxa"/>
          </w:tcPr>
          <w:p w14:paraId="136F1558" w14:textId="77777777" w:rsidR="00F21173" w:rsidRPr="00B075BC" w:rsidRDefault="00F21173">
            <w:pPr>
              <w:rPr>
                <w:lang w:val="en-GB"/>
              </w:rPr>
            </w:pPr>
            <w:r w:rsidRPr="00B075BC">
              <w:rPr>
                <w:lang w:val="en-GB"/>
              </w:rPr>
              <w:t>Planning, setting methodology and incorporating feedback of NETZ and partner organisations</w:t>
            </w:r>
          </w:p>
        </w:tc>
        <w:tc>
          <w:tcPr>
            <w:tcW w:w="1417" w:type="dxa"/>
          </w:tcPr>
          <w:p w14:paraId="27929DC6" w14:textId="6231C669" w:rsidR="00CD6F54" w:rsidRPr="00B075BC" w:rsidRDefault="00995779">
            <w:pPr>
              <w:ind w:right="-147"/>
              <w:contextualSpacing/>
              <w:rPr>
                <w:lang w:val="en-GB"/>
              </w:rPr>
            </w:pPr>
            <w:r>
              <w:rPr>
                <w:lang w:val="en-GB"/>
              </w:rPr>
              <w:t>20-</w:t>
            </w:r>
            <w:r w:rsidR="00CD6F54" w:rsidRPr="00B075BC">
              <w:rPr>
                <w:lang w:val="en-GB"/>
              </w:rPr>
              <w:t>2</w:t>
            </w:r>
            <w:r w:rsidR="00033472">
              <w:rPr>
                <w:lang w:val="en-GB"/>
              </w:rPr>
              <w:t>1</w:t>
            </w:r>
            <w:r w:rsidR="00CD6F54" w:rsidRPr="00B075BC">
              <w:rPr>
                <w:lang w:val="en-GB"/>
              </w:rPr>
              <w:t>.0</w:t>
            </w:r>
            <w:r w:rsidR="00104E09" w:rsidRPr="00B075BC">
              <w:rPr>
                <w:lang w:val="en-GB"/>
              </w:rPr>
              <w:t>7</w:t>
            </w:r>
            <w:r w:rsidR="00CD6F54" w:rsidRPr="00B075BC">
              <w:rPr>
                <w:lang w:val="en-GB"/>
              </w:rPr>
              <w:t>.202</w:t>
            </w:r>
            <w:r w:rsidR="00E67DD9">
              <w:rPr>
                <w:lang w:val="en-GB"/>
              </w:rPr>
              <w:t>6</w:t>
            </w:r>
          </w:p>
        </w:tc>
        <w:tc>
          <w:tcPr>
            <w:tcW w:w="889" w:type="dxa"/>
          </w:tcPr>
          <w:p w14:paraId="3EBB6F60" w14:textId="46DDD63C" w:rsidR="00F21173" w:rsidRPr="00B075BC" w:rsidRDefault="00F21173">
            <w:pPr>
              <w:contextualSpacing/>
              <w:jc w:val="center"/>
              <w:rPr>
                <w:lang w:val="en-GB"/>
              </w:rPr>
            </w:pPr>
            <w:r w:rsidRPr="00B075BC">
              <w:rPr>
                <w:lang w:val="en-GB"/>
              </w:rPr>
              <w:t>1</w:t>
            </w:r>
            <w:r w:rsidR="00995779">
              <w:rPr>
                <w:lang w:val="en-GB"/>
              </w:rPr>
              <w:t>.5</w:t>
            </w:r>
          </w:p>
        </w:tc>
        <w:tc>
          <w:tcPr>
            <w:tcW w:w="1276" w:type="dxa"/>
          </w:tcPr>
          <w:p w14:paraId="37AC836D" w14:textId="70110AB5" w:rsidR="00F21173" w:rsidRPr="00B075BC" w:rsidRDefault="00F21173">
            <w:pPr>
              <w:contextualSpacing/>
              <w:jc w:val="center"/>
              <w:rPr>
                <w:lang w:val="en-GB"/>
              </w:rPr>
            </w:pPr>
            <w:r w:rsidRPr="00B075BC">
              <w:rPr>
                <w:lang w:val="en-GB"/>
              </w:rPr>
              <w:t>1</w:t>
            </w:r>
            <w:r w:rsidR="00995779">
              <w:rPr>
                <w:lang w:val="en-GB"/>
              </w:rPr>
              <w:t>.5</w:t>
            </w:r>
          </w:p>
        </w:tc>
        <w:tc>
          <w:tcPr>
            <w:tcW w:w="1379" w:type="dxa"/>
          </w:tcPr>
          <w:p w14:paraId="703AC65C" w14:textId="77777777" w:rsidR="00F21173" w:rsidRPr="00B075BC" w:rsidRDefault="00F21173">
            <w:pPr>
              <w:contextualSpacing/>
              <w:jc w:val="center"/>
              <w:rPr>
                <w:lang w:val="en-GB"/>
              </w:rPr>
            </w:pPr>
            <w:r w:rsidRPr="00B075BC">
              <w:rPr>
                <w:lang w:val="en-GB"/>
              </w:rPr>
              <w:t>Consultant &amp; NETZ</w:t>
            </w:r>
          </w:p>
        </w:tc>
      </w:tr>
      <w:tr w:rsidR="00F21173" w:rsidRPr="00B075BC" w14:paraId="0A1ACB18" w14:textId="77777777">
        <w:tc>
          <w:tcPr>
            <w:tcW w:w="567" w:type="dxa"/>
          </w:tcPr>
          <w:p w14:paraId="27C4A0FF" w14:textId="77777777" w:rsidR="00F21173" w:rsidRPr="00B075BC" w:rsidRDefault="00F21173">
            <w:pPr>
              <w:contextualSpacing/>
              <w:rPr>
                <w:lang w:val="en-GB"/>
              </w:rPr>
            </w:pPr>
            <w:r w:rsidRPr="00B075BC">
              <w:rPr>
                <w:lang w:val="en-GB"/>
              </w:rPr>
              <w:t>3</w:t>
            </w:r>
          </w:p>
        </w:tc>
        <w:tc>
          <w:tcPr>
            <w:tcW w:w="3686" w:type="dxa"/>
          </w:tcPr>
          <w:p w14:paraId="3D612B75" w14:textId="77777777" w:rsidR="00F21173" w:rsidRPr="00B075BC" w:rsidRDefault="00F21173">
            <w:pPr>
              <w:rPr>
                <w:lang w:val="en-GB"/>
              </w:rPr>
            </w:pPr>
            <w:r w:rsidRPr="00B075BC">
              <w:rPr>
                <w:lang w:val="en-GB"/>
              </w:rPr>
              <w:t xml:space="preserve">Review programme documents and secondary literature </w:t>
            </w:r>
          </w:p>
        </w:tc>
        <w:tc>
          <w:tcPr>
            <w:tcW w:w="1417" w:type="dxa"/>
          </w:tcPr>
          <w:p w14:paraId="53CCF2A8" w14:textId="45BAF2AF" w:rsidR="001615F9" w:rsidRPr="00B075BC" w:rsidRDefault="009177BF">
            <w:pPr>
              <w:ind w:right="-147"/>
              <w:contextualSpacing/>
              <w:rPr>
                <w:lang w:val="en-GB"/>
              </w:rPr>
            </w:pPr>
            <w:r w:rsidRPr="00B075BC">
              <w:rPr>
                <w:lang w:val="en-GB"/>
              </w:rPr>
              <w:t>2</w:t>
            </w:r>
            <w:r w:rsidR="006C11F1">
              <w:rPr>
                <w:lang w:val="en-GB"/>
              </w:rPr>
              <w:t>2</w:t>
            </w:r>
            <w:r w:rsidR="00011D63" w:rsidRPr="00B075BC">
              <w:rPr>
                <w:lang w:val="en-GB"/>
              </w:rPr>
              <w:t xml:space="preserve"> to 2</w:t>
            </w:r>
            <w:r w:rsidR="006C11F1">
              <w:rPr>
                <w:lang w:val="en-GB"/>
              </w:rPr>
              <w:t>3</w:t>
            </w:r>
            <w:r w:rsidR="00011D63" w:rsidRPr="00B075BC">
              <w:rPr>
                <w:lang w:val="en-GB"/>
              </w:rPr>
              <w:t>.0</w:t>
            </w:r>
            <w:r w:rsidR="00644E9E" w:rsidRPr="00B075BC">
              <w:rPr>
                <w:lang w:val="en-GB"/>
              </w:rPr>
              <w:t>7</w:t>
            </w:r>
            <w:r w:rsidR="00011D63" w:rsidRPr="00B075BC">
              <w:rPr>
                <w:lang w:val="en-GB"/>
              </w:rPr>
              <w:t>.202</w:t>
            </w:r>
            <w:r w:rsidR="006C11F1">
              <w:rPr>
                <w:lang w:val="en-GB"/>
              </w:rPr>
              <w:t>6</w:t>
            </w:r>
          </w:p>
        </w:tc>
        <w:tc>
          <w:tcPr>
            <w:tcW w:w="889" w:type="dxa"/>
          </w:tcPr>
          <w:p w14:paraId="7885F7FC" w14:textId="77777777" w:rsidR="00F21173" w:rsidRPr="00B075BC" w:rsidRDefault="00F21173">
            <w:pPr>
              <w:contextualSpacing/>
              <w:jc w:val="center"/>
              <w:rPr>
                <w:lang w:val="en-GB"/>
              </w:rPr>
            </w:pPr>
            <w:r w:rsidRPr="00B075BC">
              <w:rPr>
                <w:lang w:val="en-GB"/>
              </w:rPr>
              <w:t>2</w:t>
            </w:r>
          </w:p>
        </w:tc>
        <w:tc>
          <w:tcPr>
            <w:tcW w:w="1276" w:type="dxa"/>
          </w:tcPr>
          <w:p w14:paraId="46878066" w14:textId="77777777" w:rsidR="00F21173" w:rsidRPr="00B075BC" w:rsidRDefault="00F21173">
            <w:pPr>
              <w:contextualSpacing/>
              <w:jc w:val="center"/>
              <w:rPr>
                <w:lang w:val="en-GB"/>
              </w:rPr>
            </w:pPr>
            <w:r w:rsidRPr="00B075BC">
              <w:rPr>
                <w:lang w:val="en-GB"/>
              </w:rPr>
              <w:t>2</w:t>
            </w:r>
          </w:p>
        </w:tc>
        <w:tc>
          <w:tcPr>
            <w:tcW w:w="1379" w:type="dxa"/>
          </w:tcPr>
          <w:p w14:paraId="57559AA7" w14:textId="77777777" w:rsidR="00F21173" w:rsidRPr="00B075BC" w:rsidRDefault="00F21173">
            <w:pPr>
              <w:contextualSpacing/>
              <w:rPr>
                <w:lang w:val="en-GB"/>
              </w:rPr>
            </w:pPr>
            <w:r w:rsidRPr="00B075BC">
              <w:rPr>
                <w:lang w:val="en-GB"/>
              </w:rPr>
              <w:t>Consultant</w:t>
            </w:r>
          </w:p>
        </w:tc>
      </w:tr>
      <w:tr w:rsidR="00F21173" w:rsidRPr="00B075BC" w14:paraId="6BCC05A9" w14:textId="77777777">
        <w:tc>
          <w:tcPr>
            <w:tcW w:w="567" w:type="dxa"/>
          </w:tcPr>
          <w:p w14:paraId="40EE03B4" w14:textId="77777777" w:rsidR="00F21173" w:rsidRPr="00B075BC" w:rsidRDefault="00F21173">
            <w:pPr>
              <w:contextualSpacing/>
              <w:rPr>
                <w:lang w:val="en-GB"/>
              </w:rPr>
            </w:pPr>
            <w:r w:rsidRPr="00B075BC">
              <w:rPr>
                <w:lang w:val="en-GB"/>
              </w:rPr>
              <w:t>4</w:t>
            </w:r>
          </w:p>
        </w:tc>
        <w:tc>
          <w:tcPr>
            <w:tcW w:w="3686" w:type="dxa"/>
          </w:tcPr>
          <w:p w14:paraId="0610DBC6" w14:textId="77777777" w:rsidR="00F21173" w:rsidRPr="00B075BC" w:rsidRDefault="00F21173">
            <w:pPr>
              <w:rPr>
                <w:lang w:val="en-GB"/>
              </w:rPr>
            </w:pPr>
            <w:r w:rsidRPr="00B075BC">
              <w:rPr>
                <w:lang w:val="en-GB"/>
              </w:rPr>
              <w:t>Travelling to selected programme districts and back</w:t>
            </w:r>
          </w:p>
        </w:tc>
        <w:tc>
          <w:tcPr>
            <w:tcW w:w="1417" w:type="dxa"/>
          </w:tcPr>
          <w:p w14:paraId="5BF92F4C" w14:textId="0D93F94E" w:rsidR="00644E9E" w:rsidRPr="00B075BC" w:rsidRDefault="00644E9E">
            <w:pPr>
              <w:ind w:right="-147"/>
              <w:contextualSpacing/>
              <w:rPr>
                <w:lang w:val="en-GB"/>
              </w:rPr>
            </w:pPr>
            <w:r w:rsidRPr="00B075BC">
              <w:rPr>
                <w:lang w:val="en-GB"/>
              </w:rPr>
              <w:t>2</w:t>
            </w:r>
            <w:r w:rsidR="00093B8E">
              <w:rPr>
                <w:lang w:val="en-GB"/>
              </w:rPr>
              <w:t>5</w:t>
            </w:r>
            <w:r w:rsidRPr="00B075BC">
              <w:rPr>
                <w:lang w:val="en-GB"/>
              </w:rPr>
              <w:t>.07</w:t>
            </w:r>
            <w:r w:rsidR="00916BAF" w:rsidRPr="00B075BC">
              <w:rPr>
                <w:lang w:val="en-GB"/>
              </w:rPr>
              <w:t>.202</w:t>
            </w:r>
            <w:r w:rsidR="00093B8E">
              <w:rPr>
                <w:lang w:val="en-GB"/>
              </w:rPr>
              <w:t>6</w:t>
            </w:r>
            <w:r w:rsidR="00916BAF" w:rsidRPr="00B075BC">
              <w:rPr>
                <w:lang w:val="en-GB"/>
              </w:rPr>
              <w:t xml:space="preserve"> and </w:t>
            </w:r>
            <w:r w:rsidRPr="00B075BC">
              <w:rPr>
                <w:lang w:val="en-GB"/>
              </w:rPr>
              <w:t>3</w:t>
            </w:r>
            <w:r w:rsidR="00093B8E">
              <w:rPr>
                <w:lang w:val="en-GB"/>
              </w:rPr>
              <w:t>0</w:t>
            </w:r>
            <w:r w:rsidRPr="00B075BC">
              <w:rPr>
                <w:lang w:val="en-GB"/>
              </w:rPr>
              <w:t>-07.202</w:t>
            </w:r>
            <w:r w:rsidR="00093B8E">
              <w:rPr>
                <w:lang w:val="en-GB"/>
              </w:rPr>
              <w:t>6</w:t>
            </w:r>
          </w:p>
        </w:tc>
        <w:tc>
          <w:tcPr>
            <w:tcW w:w="889" w:type="dxa"/>
          </w:tcPr>
          <w:p w14:paraId="01986F9F" w14:textId="3A3810FF" w:rsidR="00F21173" w:rsidRPr="00B075BC" w:rsidRDefault="001B13E5">
            <w:pPr>
              <w:contextualSpacing/>
              <w:jc w:val="center"/>
              <w:rPr>
                <w:lang w:val="en-GB"/>
              </w:rPr>
            </w:pPr>
            <w:r w:rsidRPr="00B075BC">
              <w:rPr>
                <w:lang w:val="en-GB"/>
              </w:rPr>
              <w:t>2</w:t>
            </w:r>
          </w:p>
        </w:tc>
        <w:tc>
          <w:tcPr>
            <w:tcW w:w="1276" w:type="dxa"/>
          </w:tcPr>
          <w:p w14:paraId="4FFEE7A6" w14:textId="1B5EF44E" w:rsidR="00F21173" w:rsidRPr="00B075BC" w:rsidRDefault="001B13E5">
            <w:pPr>
              <w:contextualSpacing/>
              <w:jc w:val="center"/>
              <w:rPr>
                <w:lang w:val="en-GB"/>
              </w:rPr>
            </w:pPr>
            <w:r w:rsidRPr="00B075BC">
              <w:rPr>
                <w:lang w:val="en-GB"/>
              </w:rPr>
              <w:t>2</w:t>
            </w:r>
          </w:p>
        </w:tc>
        <w:tc>
          <w:tcPr>
            <w:tcW w:w="1379" w:type="dxa"/>
          </w:tcPr>
          <w:p w14:paraId="0109B0B0" w14:textId="77777777" w:rsidR="00F21173" w:rsidRPr="00B075BC" w:rsidRDefault="00F21173">
            <w:pPr>
              <w:contextualSpacing/>
              <w:rPr>
                <w:lang w:val="en-GB"/>
              </w:rPr>
            </w:pPr>
            <w:r w:rsidRPr="00B075BC">
              <w:rPr>
                <w:lang w:val="en-GB"/>
              </w:rPr>
              <w:t>Consultant</w:t>
            </w:r>
          </w:p>
        </w:tc>
      </w:tr>
      <w:tr w:rsidR="00F21173" w:rsidRPr="00B075BC" w14:paraId="30CC7A9A" w14:textId="77777777">
        <w:tc>
          <w:tcPr>
            <w:tcW w:w="567" w:type="dxa"/>
          </w:tcPr>
          <w:p w14:paraId="0D02074E" w14:textId="77777777" w:rsidR="00F21173" w:rsidRPr="00B075BC" w:rsidRDefault="00F21173">
            <w:pPr>
              <w:contextualSpacing/>
              <w:rPr>
                <w:lang w:val="en-GB"/>
              </w:rPr>
            </w:pPr>
            <w:r w:rsidRPr="00B075BC">
              <w:rPr>
                <w:lang w:val="en-GB"/>
              </w:rPr>
              <w:t>5</w:t>
            </w:r>
          </w:p>
        </w:tc>
        <w:tc>
          <w:tcPr>
            <w:tcW w:w="3686" w:type="dxa"/>
          </w:tcPr>
          <w:p w14:paraId="21DEF15D" w14:textId="77777777" w:rsidR="00F21173" w:rsidRPr="00B075BC" w:rsidRDefault="00F21173">
            <w:pPr>
              <w:rPr>
                <w:lang w:val="en-GB"/>
              </w:rPr>
            </w:pPr>
            <w:r w:rsidRPr="00B075BC">
              <w:rPr>
                <w:lang w:val="en-GB"/>
              </w:rPr>
              <w:t>Field visit, interview, meetings with partner organisations, information collection, start writing process, prepare draft report</w:t>
            </w:r>
          </w:p>
        </w:tc>
        <w:tc>
          <w:tcPr>
            <w:tcW w:w="1417" w:type="dxa"/>
          </w:tcPr>
          <w:p w14:paraId="00DE2ED7" w14:textId="44AAA6C8" w:rsidR="00BD7D4E" w:rsidRPr="00B075BC" w:rsidRDefault="00BD7D4E">
            <w:pPr>
              <w:ind w:right="-147"/>
              <w:contextualSpacing/>
              <w:rPr>
                <w:lang w:val="en-GB"/>
              </w:rPr>
            </w:pPr>
            <w:r w:rsidRPr="00B075BC">
              <w:rPr>
                <w:lang w:val="en-GB"/>
              </w:rPr>
              <w:t>2</w:t>
            </w:r>
            <w:r w:rsidR="00093B8E">
              <w:rPr>
                <w:lang w:val="en-GB"/>
              </w:rPr>
              <w:t>6</w:t>
            </w:r>
            <w:r w:rsidRPr="00B075BC">
              <w:rPr>
                <w:lang w:val="en-GB"/>
              </w:rPr>
              <w:t>.07-</w:t>
            </w:r>
            <w:r w:rsidR="000729AA">
              <w:rPr>
                <w:lang w:val="en-GB"/>
              </w:rPr>
              <w:t>29</w:t>
            </w:r>
            <w:r w:rsidR="00D51736" w:rsidRPr="00B075BC">
              <w:rPr>
                <w:lang w:val="en-GB"/>
              </w:rPr>
              <w:t>.07.202</w:t>
            </w:r>
            <w:r w:rsidR="000729AA">
              <w:rPr>
                <w:lang w:val="en-GB"/>
              </w:rPr>
              <w:t>6</w:t>
            </w:r>
          </w:p>
        </w:tc>
        <w:tc>
          <w:tcPr>
            <w:tcW w:w="889" w:type="dxa"/>
          </w:tcPr>
          <w:p w14:paraId="66B7AE78" w14:textId="13D20BEB" w:rsidR="00F21173" w:rsidRPr="00B075BC" w:rsidRDefault="000729AA">
            <w:pPr>
              <w:contextualSpacing/>
              <w:jc w:val="center"/>
              <w:rPr>
                <w:lang w:val="en-GB"/>
              </w:rPr>
            </w:pPr>
            <w:r>
              <w:rPr>
                <w:lang w:val="en-GB"/>
              </w:rPr>
              <w:t>4</w:t>
            </w:r>
          </w:p>
        </w:tc>
        <w:tc>
          <w:tcPr>
            <w:tcW w:w="1276" w:type="dxa"/>
          </w:tcPr>
          <w:p w14:paraId="2FAD0C8F" w14:textId="6F8339B1" w:rsidR="00F21173" w:rsidRPr="00B075BC" w:rsidRDefault="000729AA">
            <w:pPr>
              <w:contextualSpacing/>
              <w:jc w:val="center"/>
              <w:rPr>
                <w:lang w:val="en-GB"/>
              </w:rPr>
            </w:pPr>
            <w:r>
              <w:rPr>
                <w:lang w:val="en-GB"/>
              </w:rPr>
              <w:t>4</w:t>
            </w:r>
          </w:p>
        </w:tc>
        <w:tc>
          <w:tcPr>
            <w:tcW w:w="1379" w:type="dxa"/>
          </w:tcPr>
          <w:p w14:paraId="1CC79C86" w14:textId="77777777" w:rsidR="00F21173" w:rsidRPr="00B075BC" w:rsidRDefault="00F21173">
            <w:pPr>
              <w:contextualSpacing/>
              <w:rPr>
                <w:lang w:val="en-GB"/>
              </w:rPr>
            </w:pPr>
            <w:r w:rsidRPr="00B075BC">
              <w:rPr>
                <w:lang w:val="en-GB"/>
              </w:rPr>
              <w:t>Consultant</w:t>
            </w:r>
          </w:p>
        </w:tc>
      </w:tr>
      <w:tr w:rsidR="00F21173" w:rsidRPr="00B075BC" w14:paraId="25D22413" w14:textId="77777777">
        <w:tc>
          <w:tcPr>
            <w:tcW w:w="567" w:type="dxa"/>
          </w:tcPr>
          <w:p w14:paraId="2F882915" w14:textId="77777777" w:rsidR="00F21173" w:rsidRPr="00B075BC" w:rsidRDefault="00F21173">
            <w:pPr>
              <w:contextualSpacing/>
              <w:rPr>
                <w:lang w:val="en-GB"/>
              </w:rPr>
            </w:pPr>
            <w:r w:rsidRPr="00B075BC">
              <w:rPr>
                <w:lang w:val="en-GB"/>
              </w:rPr>
              <w:t>6</w:t>
            </w:r>
          </w:p>
        </w:tc>
        <w:tc>
          <w:tcPr>
            <w:tcW w:w="3686" w:type="dxa"/>
          </w:tcPr>
          <w:p w14:paraId="159CDAE1" w14:textId="77777777" w:rsidR="00F21173" w:rsidRPr="00B075BC" w:rsidRDefault="00F21173">
            <w:pPr>
              <w:rPr>
                <w:lang w:val="en-GB"/>
              </w:rPr>
            </w:pPr>
            <w:r w:rsidRPr="00B075BC">
              <w:rPr>
                <w:lang w:val="en-GB"/>
              </w:rPr>
              <w:t xml:space="preserve">Discuss findings of the field research with NETZ Bangladesh Office in Dhaka </w:t>
            </w:r>
          </w:p>
        </w:tc>
        <w:tc>
          <w:tcPr>
            <w:tcW w:w="1417" w:type="dxa"/>
          </w:tcPr>
          <w:p w14:paraId="3D85B1D2" w14:textId="7D7E1769" w:rsidR="00D234A4" w:rsidRPr="00B075BC" w:rsidRDefault="00D234A4">
            <w:pPr>
              <w:ind w:right="-147"/>
              <w:contextualSpacing/>
              <w:rPr>
                <w:lang w:val="en-GB"/>
              </w:rPr>
            </w:pPr>
            <w:r w:rsidRPr="00B075BC">
              <w:rPr>
                <w:lang w:val="en-GB"/>
              </w:rPr>
              <w:t>01.08.2</w:t>
            </w:r>
            <w:r w:rsidR="000F3963">
              <w:rPr>
                <w:lang w:val="en-GB"/>
              </w:rPr>
              <w:t>6</w:t>
            </w:r>
          </w:p>
        </w:tc>
        <w:tc>
          <w:tcPr>
            <w:tcW w:w="889" w:type="dxa"/>
          </w:tcPr>
          <w:p w14:paraId="4D039516" w14:textId="34A8C5A0" w:rsidR="00F21173" w:rsidRPr="00B075BC" w:rsidRDefault="00F21173">
            <w:pPr>
              <w:contextualSpacing/>
              <w:jc w:val="center"/>
              <w:rPr>
                <w:lang w:val="en-GB"/>
              </w:rPr>
            </w:pPr>
            <w:r w:rsidRPr="00B075BC">
              <w:rPr>
                <w:lang w:val="en-GB"/>
              </w:rPr>
              <w:t>1</w:t>
            </w:r>
          </w:p>
        </w:tc>
        <w:tc>
          <w:tcPr>
            <w:tcW w:w="1276" w:type="dxa"/>
          </w:tcPr>
          <w:p w14:paraId="1D7B57FE" w14:textId="5A8218CA" w:rsidR="00F21173" w:rsidRPr="00B075BC" w:rsidRDefault="00F21173">
            <w:pPr>
              <w:contextualSpacing/>
              <w:jc w:val="center"/>
              <w:rPr>
                <w:lang w:val="en-GB"/>
              </w:rPr>
            </w:pPr>
            <w:r w:rsidRPr="00B075BC">
              <w:rPr>
                <w:lang w:val="en-GB"/>
              </w:rPr>
              <w:t>1</w:t>
            </w:r>
          </w:p>
        </w:tc>
        <w:tc>
          <w:tcPr>
            <w:tcW w:w="1379" w:type="dxa"/>
          </w:tcPr>
          <w:p w14:paraId="1FEB6D70" w14:textId="77777777" w:rsidR="00F21173" w:rsidRPr="00B075BC" w:rsidRDefault="00F21173">
            <w:pPr>
              <w:contextualSpacing/>
              <w:rPr>
                <w:lang w:val="en-GB"/>
              </w:rPr>
            </w:pPr>
            <w:r w:rsidRPr="00B075BC">
              <w:rPr>
                <w:lang w:val="en-GB"/>
              </w:rPr>
              <w:t>Consultant &amp; NETZ</w:t>
            </w:r>
          </w:p>
        </w:tc>
      </w:tr>
      <w:tr w:rsidR="00F21173" w:rsidRPr="00B075BC" w14:paraId="582017A4" w14:textId="77777777">
        <w:tc>
          <w:tcPr>
            <w:tcW w:w="567" w:type="dxa"/>
          </w:tcPr>
          <w:p w14:paraId="09BEC433" w14:textId="77777777" w:rsidR="00F21173" w:rsidRPr="00B075BC" w:rsidRDefault="00F21173">
            <w:pPr>
              <w:contextualSpacing/>
              <w:rPr>
                <w:lang w:val="en-GB"/>
              </w:rPr>
            </w:pPr>
            <w:r w:rsidRPr="00B075BC">
              <w:rPr>
                <w:lang w:val="en-GB"/>
              </w:rPr>
              <w:t>7</w:t>
            </w:r>
          </w:p>
        </w:tc>
        <w:tc>
          <w:tcPr>
            <w:tcW w:w="3686" w:type="dxa"/>
          </w:tcPr>
          <w:p w14:paraId="76797D17" w14:textId="77777777" w:rsidR="00F21173" w:rsidRPr="00B075BC" w:rsidRDefault="00F21173">
            <w:pPr>
              <w:rPr>
                <w:lang w:val="en-GB"/>
              </w:rPr>
            </w:pPr>
            <w:r w:rsidRPr="00B075BC">
              <w:rPr>
                <w:lang w:val="en-GB"/>
              </w:rPr>
              <w:t>Compiling the first draft of the feasibility report by following the mandatory template provided by NETZ (see Annex I)</w:t>
            </w:r>
          </w:p>
        </w:tc>
        <w:tc>
          <w:tcPr>
            <w:tcW w:w="1417" w:type="dxa"/>
          </w:tcPr>
          <w:p w14:paraId="2FDF9AAF" w14:textId="015EF838" w:rsidR="00D234A4" w:rsidRPr="00B075BC" w:rsidRDefault="00D234A4">
            <w:pPr>
              <w:ind w:right="-147"/>
              <w:contextualSpacing/>
              <w:rPr>
                <w:lang w:val="en-GB"/>
              </w:rPr>
            </w:pPr>
            <w:r w:rsidRPr="00B075BC">
              <w:rPr>
                <w:lang w:val="en-GB"/>
              </w:rPr>
              <w:t>02.08.2</w:t>
            </w:r>
            <w:r w:rsidR="000F3963">
              <w:rPr>
                <w:lang w:val="en-GB"/>
              </w:rPr>
              <w:t>6</w:t>
            </w:r>
          </w:p>
          <w:p w14:paraId="58A2E67E" w14:textId="77777777" w:rsidR="00F21173" w:rsidRPr="00B075BC" w:rsidRDefault="00F21173">
            <w:pPr>
              <w:ind w:right="-147"/>
              <w:contextualSpacing/>
              <w:rPr>
                <w:lang w:val="en-GB"/>
              </w:rPr>
            </w:pPr>
            <w:r w:rsidRPr="00B075BC">
              <w:rPr>
                <w:lang w:val="en-GB"/>
              </w:rPr>
              <w:t>to</w:t>
            </w:r>
          </w:p>
          <w:p w14:paraId="27D8321C" w14:textId="31A55050" w:rsidR="009F606B" w:rsidRPr="00B075BC" w:rsidRDefault="04B21F7A">
            <w:pPr>
              <w:ind w:right="-147"/>
              <w:contextualSpacing/>
              <w:rPr>
                <w:lang w:val="en-GB"/>
              </w:rPr>
            </w:pPr>
            <w:r w:rsidRPr="29C241B5">
              <w:rPr>
                <w:lang w:val="en-GB"/>
              </w:rPr>
              <w:t>0</w:t>
            </w:r>
            <w:r w:rsidR="68523280" w:rsidRPr="29C241B5">
              <w:rPr>
                <w:lang w:val="en-GB"/>
              </w:rPr>
              <w:t>9</w:t>
            </w:r>
            <w:r w:rsidR="00A47D72" w:rsidRPr="00B075BC">
              <w:rPr>
                <w:lang w:val="en-GB"/>
              </w:rPr>
              <w:t>.08.2</w:t>
            </w:r>
            <w:r w:rsidR="000F3963">
              <w:rPr>
                <w:lang w:val="en-GB"/>
              </w:rPr>
              <w:t>6</w:t>
            </w:r>
          </w:p>
          <w:p w14:paraId="20C301FA" w14:textId="77777777" w:rsidR="00F21173" w:rsidRPr="00B075BC" w:rsidRDefault="00F21173">
            <w:pPr>
              <w:ind w:right="-147"/>
              <w:contextualSpacing/>
              <w:rPr>
                <w:lang w:val="en-GB"/>
              </w:rPr>
            </w:pPr>
          </w:p>
        </w:tc>
        <w:tc>
          <w:tcPr>
            <w:tcW w:w="889" w:type="dxa"/>
          </w:tcPr>
          <w:p w14:paraId="742F9BD3" w14:textId="4901B7CE" w:rsidR="00F21173" w:rsidRPr="00B075BC" w:rsidRDefault="004E681E">
            <w:pPr>
              <w:contextualSpacing/>
              <w:jc w:val="center"/>
              <w:rPr>
                <w:lang w:val="en-GB"/>
              </w:rPr>
            </w:pPr>
            <w:r>
              <w:rPr>
                <w:lang w:val="en-GB"/>
              </w:rPr>
              <w:t>5</w:t>
            </w:r>
          </w:p>
        </w:tc>
        <w:tc>
          <w:tcPr>
            <w:tcW w:w="1276" w:type="dxa"/>
          </w:tcPr>
          <w:p w14:paraId="6179DCD8" w14:textId="18F14CD2" w:rsidR="00F21173" w:rsidRPr="00B075BC" w:rsidRDefault="004E681E">
            <w:pPr>
              <w:contextualSpacing/>
              <w:jc w:val="center"/>
              <w:rPr>
                <w:lang w:val="en-GB"/>
              </w:rPr>
            </w:pPr>
            <w:r>
              <w:rPr>
                <w:lang w:val="en-GB"/>
              </w:rPr>
              <w:t>5</w:t>
            </w:r>
          </w:p>
        </w:tc>
        <w:tc>
          <w:tcPr>
            <w:tcW w:w="1379" w:type="dxa"/>
          </w:tcPr>
          <w:p w14:paraId="1B1A3997" w14:textId="77777777" w:rsidR="00F21173" w:rsidRPr="00B075BC" w:rsidRDefault="00F21173">
            <w:pPr>
              <w:contextualSpacing/>
              <w:rPr>
                <w:lang w:val="en-GB"/>
              </w:rPr>
            </w:pPr>
            <w:r w:rsidRPr="00B075BC">
              <w:rPr>
                <w:lang w:val="en-GB"/>
              </w:rPr>
              <w:t>Consultant</w:t>
            </w:r>
          </w:p>
        </w:tc>
      </w:tr>
      <w:tr w:rsidR="00F21173" w:rsidRPr="00B075BC" w14:paraId="776A35DF" w14:textId="77777777">
        <w:tc>
          <w:tcPr>
            <w:tcW w:w="567" w:type="dxa"/>
          </w:tcPr>
          <w:p w14:paraId="6237DAD9" w14:textId="77777777" w:rsidR="00F21173" w:rsidRPr="00B075BC" w:rsidRDefault="00F21173">
            <w:pPr>
              <w:contextualSpacing/>
              <w:rPr>
                <w:lang w:val="en-GB"/>
              </w:rPr>
            </w:pPr>
            <w:r w:rsidRPr="00B075BC">
              <w:rPr>
                <w:lang w:val="en-GB"/>
              </w:rPr>
              <w:t>8</w:t>
            </w:r>
          </w:p>
        </w:tc>
        <w:tc>
          <w:tcPr>
            <w:tcW w:w="3686" w:type="dxa"/>
          </w:tcPr>
          <w:p w14:paraId="13D3A2BB" w14:textId="77777777" w:rsidR="00F21173" w:rsidRPr="00B075BC" w:rsidRDefault="00F21173">
            <w:pPr>
              <w:rPr>
                <w:lang w:val="en-GB"/>
              </w:rPr>
            </w:pPr>
            <w:r w:rsidRPr="00B075BC">
              <w:rPr>
                <w:lang w:val="en-GB"/>
              </w:rPr>
              <w:t>Finalising the feasibility study report, adjust feedback of NETZ and partner organisations</w:t>
            </w:r>
          </w:p>
        </w:tc>
        <w:tc>
          <w:tcPr>
            <w:tcW w:w="1417" w:type="dxa"/>
          </w:tcPr>
          <w:p w14:paraId="6032D0EE" w14:textId="69896BE1" w:rsidR="00134581" w:rsidRPr="00B075BC" w:rsidRDefault="2C72EE99">
            <w:pPr>
              <w:ind w:right="-147"/>
              <w:contextualSpacing/>
              <w:rPr>
                <w:lang w:val="en-GB"/>
              </w:rPr>
            </w:pPr>
            <w:r w:rsidRPr="29C241B5">
              <w:rPr>
                <w:lang w:val="en-GB"/>
              </w:rPr>
              <w:t>10</w:t>
            </w:r>
            <w:r w:rsidR="00DD2448" w:rsidRPr="00B075BC">
              <w:rPr>
                <w:lang w:val="en-GB"/>
              </w:rPr>
              <w:t>.08.2</w:t>
            </w:r>
            <w:r w:rsidR="004E681E">
              <w:rPr>
                <w:lang w:val="en-GB"/>
              </w:rPr>
              <w:t>6</w:t>
            </w:r>
          </w:p>
          <w:p w14:paraId="2C88A217" w14:textId="5362C95F" w:rsidR="00A824C4" w:rsidRPr="00B075BC" w:rsidRDefault="00DA238E">
            <w:pPr>
              <w:ind w:right="-147"/>
              <w:contextualSpacing/>
              <w:rPr>
                <w:lang w:val="en-GB"/>
              </w:rPr>
            </w:pPr>
            <w:r w:rsidRPr="00B075BC">
              <w:rPr>
                <w:lang w:val="en-GB"/>
              </w:rPr>
              <w:t>to</w:t>
            </w:r>
          </w:p>
          <w:p w14:paraId="2D6DE3AA" w14:textId="4C60ED3E" w:rsidR="00FF4A71" w:rsidRPr="00B075BC" w:rsidRDefault="1C211140">
            <w:pPr>
              <w:ind w:right="-147"/>
              <w:contextualSpacing/>
              <w:rPr>
                <w:lang w:val="en-GB"/>
              </w:rPr>
            </w:pPr>
            <w:r w:rsidRPr="29C241B5">
              <w:rPr>
                <w:lang w:val="en-GB"/>
              </w:rPr>
              <w:t>15</w:t>
            </w:r>
            <w:r w:rsidR="00134581" w:rsidRPr="00B075BC">
              <w:rPr>
                <w:lang w:val="en-GB"/>
              </w:rPr>
              <w:t>.08.2</w:t>
            </w:r>
            <w:r w:rsidR="004E681E">
              <w:rPr>
                <w:lang w:val="en-GB"/>
              </w:rPr>
              <w:t>6</w:t>
            </w:r>
          </w:p>
          <w:p w14:paraId="382D5F0C" w14:textId="77777777" w:rsidR="00F21173" w:rsidRPr="00B075BC" w:rsidRDefault="00F21173">
            <w:pPr>
              <w:ind w:right="-147"/>
              <w:contextualSpacing/>
              <w:rPr>
                <w:lang w:val="en-GB"/>
              </w:rPr>
            </w:pPr>
          </w:p>
        </w:tc>
        <w:tc>
          <w:tcPr>
            <w:tcW w:w="889" w:type="dxa"/>
          </w:tcPr>
          <w:p w14:paraId="3FA430B1" w14:textId="77777777" w:rsidR="00F21173" w:rsidRPr="00B075BC" w:rsidRDefault="00F21173">
            <w:pPr>
              <w:contextualSpacing/>
              <w:jc w:val="center"/>
              <w:rPr>
                <w:lang w:val="en-GB"/>
              </w:rPr>
            </w:pPr>
            <w:r w:rsidRPr="00B075BC">
              <w:rPr>
                <w:lang w:val="en-GB"/>
              </w:rPr>
              <w:t>3</w:t>
            </w:r>
          </w:p>
        </w:tc>
        <w:tc>
          <w:tcPr>
            <w:tcW w:w="1276" w:type="dxa"/>
          </w:tcPr>
          <w:p w14:paraId="18ECCE45" w14:textId="77777777" w:rsidR="00F21173" w:rsidRPr="00B075BC" w:rsidRDefault="00F21173">
            <w:pPr>
              <w:contextualSpacing/>
              <w:jc w:val="center"/>
              <w:rPr>
                <w:lang w:val="en-GB"/>
              </w:rPr>
            </w:pPr>
            <w:r w:rsidRPr="00B075BC">
              <w:rPr>
                <w:lang w:val="en-GB"/>
              </w:rPr>
              <w:t>3</w:t>
            </w:r>
          </w:p>
        </w:tc>
        <w:tc>
          <w:tcPr>
            <w:tcW w:w="1379" w:type="dxa"/>
          </w:tcPr>
          <w:p w14:paraId="4FB1E9FC" w14:textId="77777777" w:rsidR="00F21173" w:rsidRPr="00B075BC" w:rsidRDefault="00F21173">
            <w:pPr>
              <w:contextualSpacing/>
              <w:rPr>
                <w:lang w:val="en-GB"/>
              </w:rPr>
            </w:pPr>
            <w:r w:rsidRPr="00B075BC">
              <w:rPr>
                <w:lang w:val="en-GB"/>
              </w:rPr>
              <w:t>Consultant</w:t>
            </w:r>
          </w:p>
        </w:tc>
      </w:tr>
      <w:tr w:rsidR="00F21173" w:rsidRPr="00B075BC" w14:paraId="4DD0A159" w14:textId="77777777">
        <w:tc>
          <w:tcPr>
            <w:tcW w:w="567" w:type="dxa"/>
          </w:tcPr>
          <w:p w14:paraId="40A1973C" w14:textId="77777777" w:rsidR="00F21173" w:rsidRPr="00B075BC" w:rsidRDefault="00F21173">
            <w:pPr>
              <w:contextualSpacing/>
              <w:rPr>
                <w:lang w:val="en-GB"/>
              </w:rPr>
            </w:pPr>
            <w:r w:rsidRPr="00B075BC">
              <w:rPr>
                <w:lang w:val="en-GB"/>
              </w:rPr>
              <w:t>9</w:t>
            </w:r>
          </w:p>
        </w:tc>
        <w:tc>
          <w:tcPr>
            <w:tcW w:w="3686" w:type="dxa"/>
          </w:tcPr>
          <w:p w14:paraId="1233AFF1" w14:textId="77777777" w:rsidR="00F21173" w:rsidRPr="00B075BC" w:rsidRDefault="00F21173">
            <w:pPr>
              <w:rPr>
                <w:lang w:val="en-GB"/>
              </w:rPr>
            </w:pPr>
            <w:r w:rsidRPr="00B075BC">
              <w:rPr>
                <w:lang w:val="en-GB"/>
              </w:rPr>
              <w:t>Presentation and discussion of findings with NETZ and partner organisations</w:t>
            </w:r>
          </w:p>
        </w:tc>
        <w:tc>
          <w:tcPr>
            <w:tcW w:w="1417" w:type="dxa"/>
          </w:tcPr>
          <w:p w14:paraId="63F16D8A" w14:textId="6413E89D" w:rsidR="00E34B09" w:rsidRPr="00B075BC" w:rsidRDefault="19E8AB50">
            <w:pPr>
              <w:ind w:right="-147"/>
              <w:contextualSpacing/>
              <w:rPr>
                <w:lang w:val="en-GB"/>
              </w:rPr>
            </w:pPr>
            <w:r w:rsidRPr="29C241B5">
              <w:rPr>
                <w:lang w:val="en-GB"/>
              </w:rPr>
              <w:t>1</w:t>
            </w:r>
            <w:r w:rsidR="54E18A70" w:rsidRPr="29C241B5">
              <w:rPr>
                <w:lang w:val="en-GB"/>
              </w:rPr>
              <w:t>6</w:t>
            </w:r>
            <w:r w:rsidR="000E5B50" w:rsidRPr="00B075BC">
              <w:rPr>
                <w:lang w:val="en-GB"/>
              </w:rPr>
              <w:t>.08.202</w:t>
            </w:r>
            <w:r w:rsidR="004E681E">
              <w:rPr>
                <w:lang w:val="en-GB"/>
              </w:rPr>
              <w:t>6</w:t>
            </w:r>
          </w:p>
        </w:tc>
        <w:tc>
          <w:tcPr>
            <w:tcW w:w="889" w:type="dxa"/>
          </w:tcPr>
          <w:p w14:paraId="400441CA" w14:textId="77777777" w:rsidR="00F21173" w:rsidRPr="00B075BC" w:rsidRDefault="00F21173">
            <w:pPr>
              <w:contextualSpacing/>
              <w:jc w:val="center"/>
              <w:rPr>
                <w:lang w:val="en-GB"/>
              </w:rPr>
            </w:pPr>
            <w:r w:rsidRPr="00B075BC">
              <w:rPr>
                <w:lang w:val="en-GB"/>
              </w:rPr>
              <w:t>1</w:t>
            </w:r>
          </w:p>
        </w:tc>
        <w:tc>
          <w:tcPr>
            <w:tcW w:w="1276" w:type="dxa"/>
          </w:tcPr>
          <w:p w14:paraId="7E5CC97B" w14:textId="77777777" w:rsidR="00F21173" w:rsidRPr="00B075BC" w:rsidRDefault="00F21173">
            <w:pPr>
              <w:contextualSpacing/>
              <w:jc w:val="center"/>
              <w:rPr>
                <w:lang w:val="en-GB"/>
              </w:rPr>
            </w:pPr>
            <w:r w:rsidRPr="00B075BC">
              <w:rPr>
                <w:lang w:val="en-GB"/>
              </w:rPr>
              <w:t>1</w:t>
            </w:r>
          </w:p>
        </w:tc>
        <w:tc>
          <w:tcPr>
            <w:tcW w:w="1379" w:type="dxa"/>
          </w:tcPr>
          <w:p w14:paraId="48AA717D" w14:textId="77777777" w:rsidR="00F21173" w:rsidRPr="00B075BC" w:rsidRDefault="00F21173">
            <w:pPr>
              <w:contextualSpacing/>
              <w:rPr>
                <w:lang w:val="en-GB"/>
              </w:rPr>
            </w:pPr>
            <w:r w:rsidRPr="00B075BC">
              <w:rPr>
                <w:lang w:val="en-GB"/>
              </w:rPr>
              <w:t>Consultant</w:t>
            </w:r>
          </w:p>
        </w:tc>
      </w:tr>
      <w:tr w:rsidR="00F21173" w:rsidRPr="00B075BC" w14:paraId="67A98B78" w14:textId="77777777">
        <w:tc>
          <w:tcPr>
            <w:tcW w:w="567" w:type="dxa"/>
          </w:tcPr>
          <w:p w14:paraId="57CAC479" w14:textId="77777777" w:rsidR="00F21173" w:rsidRPr="00B075BC" w:rsidRDefault="00F21173">
            <w:pPr>
              <w:contextualSpacing/>
              <w:rPr>
                <w:lang w:val="en-GB"/>
              </w:rPr>
            </w:pPr>
          </w:p>
        </w:tc>
        <w:tc>
          <w:tcPr>
            <w:tcW w:w="3686" w:type="dxa"/>
          </w:tcPr>
          <w:p w14:paraId="18E03A70" w14:textId="77777777" w:rsidR="00F21173" w:rsidRPr="00B075BC" w:rsidRDefault="00F21173">
            <w:pPr>
              <w:contextualSpacing/>
              <w:jc w:val="center"/>
              <w:rPr>
                <w:b/>
                <w:lang w:val="en-GB"/>
              </w:rPr>
            </w:pPr>
            <w:r w:rsidRPr="00B075BC">
              <w:rPr>
                <w:b/>
                <w:lang w:val="en-GB"/>
              </w:rPr>
              <w:t xml:space="preserve">Total </w:t>
            </w:r>
          </w:p>
        </w:tc>
        <w:tc>
          <w:tcPr>
            <w:tcW w:w="1417" w:type="dxa"/>
          </w:tcPr>
          <w:p w14:paraId="6D2EA46A" w14:textId="77777777" w:rsidR="00F21173" w:rsidRPr="00B075BC" w:rsidRDefault="00F21173">
            <w:pPr>
              <w:ind w:right="-147"/>
              <w:contextualSpacing/>
              <w:rPr>
                <w:lang w:val="en-GB"/>
              </w:rPr>
            </w:pPr>
          </w:p>
        </w:tc>
        <w:tc>
          <w:tcPr>
            <w:tcW w:w="889" w:type="dxa"/>
          </w:tcPr>
          <w:p w14:paraId="31666C85" w14:textId="4D6DBC04" w:rsidR="00F21173" w:rsidRPr="00B075BC" w:rsidRDefault="00F21173">
            <w:pPr>
              <w:contextualSpacing/>
              <w:jc w:val="center"/>
              <w:rPr>
                <w:b/>
                <w:lang w:val="en-GB"/>
              </w:rPr>
            </w:pPr>
            <w:r w:rsidRPr="00B075BC">
              <w:rPr>
                <w:b/>
                <w:lang w:val="en-GB"/>
              </w:rPr>
              <w:t>2</w:t>
            </w:r>
            <w:r w:rsidR="00FC0683">
              <w:rPr>
                <w:b/>
                <w:lang w:val="en-GB"/>
              </w:rPr>
              <w:t>0</w:t>
            </w:r>
            <w:r w:rsidRPr="00B075BC">
              <w:rPr>
                <w:b/>
                <w:lang w:val="en-GB"/>
              </w:rPr>
              <w:t xml:space="preserve">  </w:t>
            </w:r>
          </w:p>
        </w:tc>
        <w:tc>
          <w:tcPr>
            <w:tcW w:w="1276" w:type="dxa"/>
          </w:tcPr>
          <w:p w14:paraId="415E0774" w14:textId="02184561" w:rsidR="00F21173" w:rsidRPr="00B075BC" w:rsidRDefault="00F21173">
            <w:pPr>
              <w:contextualSpacing/>
              <w:jc w:val="center"/>
              <w:rPr>
                <w:b/>
                <w:lang w:val="en-GB"/>
              </w:rPr>
            </w:pPr>
            <w:r w:rsidRPr="00B075BC">
              <w:rPr>
                <w:b/>
                <w:lang w:val="en-GB"/>
              </w:rPr>
              <w:t>2</w:t>
            </w:r>
            <w:r w:rsidR="00FC0683">
              <w:rPr>
                <w:b/>
                <w:lang w:val="en-GB"/>
              </w:rPr>
              <w:t>0</w:t>
            </w:r>
          </w:p>
        </w:tc>
        <w:tc>
          <w:tcPr>
            <w:tcW w:w="1379" w:type="dxa"/>
          </w:tcPr>
          <w:p w14:paraId="4F50BE83" w14:textId="77777777" w:rsidR="00F21173" w:rsidRPr="00B075BC" w:rsidRDefault="00F21173">
            <w:pPr>
              <w:contextualSpacing/>
              <w:rPr>
                <w:lang w:val="en-GB"/>
              </w:rPr>
            </w:pPr>
          </w:p>
        </w:tc>
      </w:tr>
    </w:tbl>
    <w:p w14:paraId="6E58594D" w14:textId="77777777" w:rsidR="00F21173" w:rsidRDefault="00F21173" w:rsidP="00F21173">
      <w:pPr>
        <w:contextualSpacing/>
        <w:jc w:val="both"/>
        <w:rPr>
          <w:lang w:val="en-GB"/>
        </w:rPr>
      </w:pPr>
      <w:r w:rsidRPr="00B075BC">
        <w:rPr>
          <w:lang w:val="en-GB"/>
        </w:rPr>
        <w:t xml:space="preserve"> </w:t>
      </w:r>
    </w:p>
    <w:p w14:paraId="3C9280D1" w14:textId="77777777" w:rsidR="00D818C5" w:rsidRDefault="00D818C5" w:rsidP="00F21173">
      <w:pPr>
        <w:contextualSpacing/>
        <w:jc w:val="both"/>
        <w:rPr>
          <w:lang w:val="en-GB"/>
        </w:rPr>
      </w:pPr>
    </w:p>
    <w:p w14:paraId="4126C3FA" w14:textId="77777777" w:rsidR="00D818C5" w:rsidRPr="00B075BC" w:rsidRDefault="00D818C5" w:rsidP="00F21173">
      <w:pPr>
        <w:contextualSpacing/>
        <w:jc w:val="both"/>
        <w:rPr>
          <w:lang w:val="en-GB"/>
        </w:rPr>
      </w:pPr>
    </w:p>
    <w:p w14:paraId="4E66CF97" w14:textId="77777777" w:rsidR="00F21173" w:rsidRDefault="00F21173" w:rsidP="00F21173">
      <w:pPr>
        <w:contextualSpacing/>
        <w:jc w:val="both"/>
        <w:rPr>
          <w:b/>
          <w:lang w:val="en-GB"/>
        </w:rPr>
      </w:pPr>
      <w:r w:rsidRPr="00B075BC">
        <w:rPr>
          <w:b/>
          <w:lang w:val="en-GB"/>
        </w:rPr>
        <w:t>8. Management of the evaluation</w:t>
      </w:r>
    </w:p>
    <w:p w14:paraId="7B547AC5" w14:textId="77777777" w:rsidR="00D818C5" w:rsidRPr="00B075BC" w:rsidRDefault="00D818C5" w:rsidP="00F21173">
      <w:pPr>
        <w:contextualSpacing/>
        <w:jc w:val="both"/>
        <w:rPr>
          <w:b/>
          <w:lang w:val="en-GB"/>
        </w:rPr>
      </w:pPr>
    </w:p>
    <w:p w14:paraId="5936ADFE" w14:textId="77777777" w:rsidR="00F21173" w:rsidRDefault="00F21173" w:rsidP="00F21173">
      <w:pPr>
        <w:contextualSpacing/>
        <w:jc w:val="both"/>
        <w:rPr>
          <w:lang w:val="en-GB"/>
        </w:rPr>
      </w:pPr>
      <w:r w:rsidRPr="00B075BC">
        <w:rPr>
          <w:lang w:val="en-GB"/>
        </w:rPr>
        <w:t>The following persons will be involved in the overall management of the feasibility study.</w:t>
      </w:r>
    </w:p>
    <w:p w14:paraId="5231F5FD" w14:textId="77777777" w:rsidR="00D818C5" w:rsidRPr="00B075BC" w:rsidRDefault="00D818C5" w:rsidP="00F21173">
      <w:pPr>
        <w:contextualSpacing/>
        <w:jc w:val="both"/>
        <w:rPr>
          <w:b/>
          <w:lang w:val="en-GB"/>
        </w:rPr>
      </w:pP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00"/>
        <w:gridCol w:w="6656"/>
      </w:tblGrid>
      <w:tr w:rsidR="00F21173" w:rsidRPr="00B075BC" w14:paraId="5AD8F0E3" w14:textId="77777777">
        <w:trPr>
          <w:tblHeader/>
        </w:trPr>
        <w:tc>
          <w:tcPr>
            <w:tcW w:w="2700" w:type="dxa"/>
            <w:shd w:val="clear" w:color="auto" w:fill="D9D9D9"/>
          </w:tcPr>
          <w:p w14:paraId="21BDD6D2" w14:textId="77777777" w:rsidR="00F21173" w:rsidRPr="00B075BC" w:rsidRDefault="00F21173">
            <w:pPr>
              <w:contextualSpacing/>
              <w:jc w:val="center"/>
              <w:rPr>
                <w:b/>
                <w:lang w:val="en-GB"/>
              </w:rPr>
            </w:pPr>
            <w:r w:rsidRPr="00B075BC">
              <w:rPr>
                <w:b/>
                <w:lang w:val="en-GB"/>
              </w:rPr>
              <w:t>Name (Position, NGO)</w:t>
            </w:r>
          </w:p>
        </w:tc>
        <w:tc>
          <w:tcPr>
            <w:tcW w:w="6656" w:type="dxa"/>
            <w:shd w:val="clear" w:color="auto" w:fill="D9D9D9"/>
          </w:tcPr>
          <w:p w14:paraId="0AE6FF33" w14:textId="77777777" w:rsidR="00F21173" w:rsidRPr="00B075BC" w:rsidRDefault="00F21173">
            <w:pPr>
              <w:contextualSpacing/>
              <w:jc w:val="center"/>
              <w:rPr>
                <w:b/>
                <w:lang w:val="en-GB"/>
              </w:rPr>
            </w:pPr>
            <w:r w:rsidRPr="00B075BC">
              <w:rPr>
                <w:b/>
                <w:lang w:val="en-GB"/>
              </w:rPr>
              <w:t>Responsibilities</w:t>
            </w:r>
          </w:p>
        </w:tc>
      </w:tr>
      <w:tr w:rsidR="00F21173" w:rsidRPr="00B075BC" w14:paraId="51179F3F" w14:textId="77777777">
        <w:tc>
          <w:tcPr>
            <w:tcW w:w="2700" w:type="dxa"/>
          </w:tcPr>
          <w:p w14:paraId="4F9E187E" w14:textId="77101C7D" w:rsidR="00F21173" w:rsidRPr="00B075BC" w:rsidRDefault="004E681E" w:rsidP="007B6370">
            <w:pPr>
              <w:spacing w:before="120" w:after="120"/>
              <w:rPr>
                <w:lang w:val="en-GB"/>
              </w:rPr>
            </w:pPr>
            <w:r>
              <w:rPr>
                <w:lang w:val="en-GB"/>
              </w:rPr>
              <w:t>Team Leader</w:t>
            </w:r>
            <w:r w:rsidR="00F21173" w:rsidRPr="00B075BC">
              <w:rPr>
                <w:lang w:val="en-GB"/>
              </w:rPr>
              <w:t xml:space="preserve">, </w:t>
            </w:r>
            <w:r>
              <w:rPr>
                <w:lang w:val="en-GB"/>
              </w:rPr>
              <w:t xml:space="preserve">CRL Team, </w:t>
            </w:r>
            <w:r w:rsidR="00F21173" w:rsidRPr="00B075BC">
              <w:rPr>
                <w:lang w:val="en-GB"/>
              </w:rPr>
              <w:t>NETZ</w:t>
            </w:r>
          </w:p>
        </w:tc>
        <w:tc>
          <w:tcPr>
            <w:tcW w:w="6656" w:type="dxa"/>
          </w:tcPr>
          <w:p w14:paraId="7F1E866A" w14:textId="77777777" w:rsidR="00F21173" w:rsidRPr="00B075BC" w:rsidRDefault="00F21173" w:rsidP="007B6370">
            <w:pPr>
              <w:spacing w:before="120" w:after="120"/>
              <w:jc w:val="both"/>
              <w:rPr>
                <w:lang w:val="en-GB"/>
              </w:rPr>
            </w:pPr>
            <w:r w:rsidRPr="00B075BC">
              <w:rPr>
                <w:lang w:val="en-GB"/>
              </w:rPr>
              <w:t xml:space="preserve">Overall coordination with the consultant and partner organisations; providing required programme documents to consultants; organisational support for consultants to plan </w:t>
            </w:r>
            <w:proofErr w:type="gramStart"/>
            <w:r w:rsidRPr="00B075BC">
              <w:rPr>
                <w:lang w:val="en-GB"/>
              </w:rPr>
              <w:t>working</w:t>
            </w:r>
            <w:proofErr w:type="gramEnd"/>
            <w:r w:rsidRPr="00B075BC">
              <w:rPr>
                <w:lang w:val="en-GB"/>
              </w:rPr>
              <w:t xml:space="preserve"> area visits with partner organisations; providing organisational feedback on draft report; all contract-related issues.</w:t>
            </w:r>
          </w:p>
        </w:tc>
      </w:tr>
      <w:tr w:rsidR="00F21173" w:rsidRPr="00B075BC" w14:paraId="10CE7063" w14:textId="77777777">
        <w:trPr>
          <w:trHeight w:val="911"/>
        </w:trPr>
        <w:tc>
          <w:tcPr>
            <w:tcW w:w="2700" w:type="dxa"/>
          </w:tcPr>
          <w:p w14:paraId="12450EC7" w14:textId="77777777" w:rsidR="00F21173" w:rsidRPr="00B075BC" w:rsidRDefault="00F21173" w:rsidP="007B6370">
            <w:pPr>
              <w:spacing w:before="120" w:after="120"/>
              <w:rPr>
                <w:lang w:val="en-GB"/>
              </w:rPr>
            </w:pPr>
            <w:r w:rsidRPr="00B075BC">
              <w:rPr>
                <w:lang w:val="en-GB"/>
              </w:rPr>
              <w:t xml:space="preserve">Project Directors </w:t>
            </w:r>
            <w:proofErr w:type="gramStart"/>
            <w:r w:rsidRPr="00B075BC">
              <w:rPr>
                <w:lang w:val="en-GB"/>
              </w:rPr>
              <w:t>of  partner</w:t>
            </w:r>
            <w:proofErr w:type="gramEnd"/>
            <w:r w:rsidRPr="00B075BC">
              <w:rPr>
                <w:lang w:val="en-GB"/>
              </w:rPr>
              <w:t xml:space="preserve"> organisations</w:t>
            </w:r>
          </w:p>
        </w:tc>
        <w:tc>
          <w:tcPr>
            <w:tcW w:w="6656" w:type="dxa"/>
          </w:tcPr>
          <w:p w14:paraId="7E54A86E" w14:textId="77777777" w:rsidR="00F21173" w:rsidRPr="00B075BC" w:rsidRDefault="00F21173" w:rsidP="007B6370">
            <w:pPr>
              <w:spacing w:before="120" w:after="120"/>
              <w:jc w:val="both"/>
              <w:rPr>
                <w:lang w:val="en-GB"/>
              </w:rPr>
            </w:pPr>
            <w:r w:rsidRPr="00B075BC">
              <w:rPr>
                <w:lang w:val="en-GB"/>
              </w:rPr>
              <w:t xml:space="preserve">Coordination and planning of working area visit of consultants; ensuring participation of staff members and other stakeholders </w:t>
            </w:r>
            <w:r w:rsidRPr="00B075BC">
              <w:rPr>
                <w:lang w:val="en-GB"/>
              </w:rPr>
              <w:lastRenderedPageBreak/>
              <w:t>during programme area visits, interviews, dialogue meetings, debriefing etc.; providing organisational feedback on draft report.</w:t>
            </w:r>
          </w:p>
        </w:tc>
      </w:tr>
    </w:tbl>
    <w:p w14:paraId="5ABA3325" w14:textId="77777777" w:rsidR="00F21173" w:rsidRDefault="00F21173" w:rsidP="00F21173">
      <w:pPr>
        <w:contextualSpacing/>
        <w:jc w:val="both"/>
        <w:rPr>
          <w:b/>
          <w:lang w:val="en-GB"/>
        </w:rPr>
      </w:pPr>
    </w:p>
    <w:p w14:paraId="374E8915" w14:textId="77777777" w:rsidR="00D818C5" w:rsidRDefault="00D818C5" w:rsidP="00F21173">
      <w:pPr>
        <w:contextualSpacing/>
        <w:jc w:val="both"/>
        <w:rPr>
          <w:b/>
          <w:lang w:val="en-GB"/>
        </w:rPr>
      </w:pPr>
    </w:p>
    <w:p w14:paraId="6FAAF4D9" w14:textId="77777777" w:rsidR="00D818C5" w:rsidRPr="00B075BC" w:rsidRDefault="00D818C5" w:rsidP="00F21173">
      <w:pPr>
        <w:contextualSpacing/>
        <w:jc w:val="both"/>
        <w:rPr>
          <w:b/>
          <w:lang w:val="en-GB"/>
        </w:rPr>
      </w:pPr>
    </w:p>
    <w:p w14:paraId="34490096" w14:textId="77777777" w:rsidR="00F21173" w:rsidRDefault="00F21173" w:rsidP="00F21173">
      <w:pPr>
        <w:tabs>
          <w:tab w:val="left" w:pos="567"/>
        </w:tabs>
        <w:ind w:left="567" w:hanging="567"/>
        <w:contextualSpacing/>
        <w:jc w:val="both"/>
        <w:rPr>
          <w:b/>
          <w:lang w:val="en-GB"/>
        </w:rPr>
      </w:pPr>
      <w:r w:rsidRPr="00B075BC">
        <w:rPr>
          <w:b/>
          <w:lang w:val="en-GB"/>
        </w:rPr>
        <w:t>9.</w:t>
      </w:r>
      <w:r w:rsidRPr="00B075BC">
        <w:rPr>
          <w:lang w:val="en-GB"/>
        </w:rPr>
        <w:t xml:space="preserve"> </w:t>
      </w:r>
      <w:r w:rsidRPr="00B075BC">
        <w:rPr>
          <w:b/>
          <w:lang w:val="en-GB"/>
        </w:rPr>
        <w:t>General conditions</w:t>
      </w:r>
    </w:p>
    <w:p w14:paraId="13D6FDCD" w14:textId="77777777" w:rsidR="007D2FB0" w:rsidRDefault="007D2FB0" w:rsidP="00F21173">
      <w:pPr>
        <w:tabs>
          <w:tab w:val="left" w:pos="567"/>
        </w:tabs>
        <w:ind w:left="567" w:hanging="567"/>
        <w:contextualSpacing/>
        <w:jc w:val="both"/>
        <w:rPr>
          <w:b/>
          <w:lang w:val="en-GB"/>
        </w:rPr>
      </w:pPr>
    </w:p>
    <w:p w14:paraId="7C4B9AEE" w14:textId="209AD6B0" w:rsidR="007D2FB0" w:rsidRDefault="007D2FB0" w:rsidP="007D2FB0">
      <w:pPr>
        <w:pStyle w:val="ListParagraph"/>
        <w:numPr>
          <w:ilvl w:val="0"/>
          <w:numId w:val="10"/>
        </w:numPr>
        <w:spacing w:before="120" w:after="120"/>
        <w:contextualSpacing w:val="0"/>
        <w:jc w:val="both"/>
      </w:pPr>
      <w:r>
        <w:t xml:space="preserve">An individual financial contract will be signed with the selected consultant upon acceptance of </w:t>
      </w:r>
      <w:r w:rsidR="00C035AA">
        <w:t>these</w:t>
      </w:r>
      <w:r>
        <w:t xml:space="preserve"> Terms of Reference (</w:t>
      </w:r>
      <w:proofErr w:type="spellStart"/>
      <w:r>
        <w:t>ToR</w:t>
      </w:r>
      <w:proofErr w:type="spellEnd"/>
      <w:r>
        <w:t>).</w:t>
      </w:r>
    </w:p>
    <w:p w14:paraId="7B83A547" w14:textId="33887579" w:rsidR="007D2FB0" w:rsidRDefault="007D2FB0" w:rsidP="007D2FB0">
      <w:pPr>
        <w:pStyle w:val="ListParagraph"/>
        <w:numPr>
          <w:ilvl w:val="0"/>
          <w:numId w:val="10"/>
        </w:numPr>
        <w:spacing w:before="120" w:after="120"/>
        <w:contextualSpacing w:val="0"/>
        <w:jc w:val="both"/>
      </w:pPr>
      <w:r>
        <w:t xml:space="preserve">Given that the feasibility study involves direct interaction with target groups and partner organizations, NETZ expects a friendly, respectful, and gender-sensitive attitude and behavior throughout the study. The Code of Conduct and the Child Protection </w:t>
      </w:r>
      <w:proofErr w:type="gramStart"/>
      <w:r>
        <w:t>Policy,</w:t>
      </w:r>
      <w:proofErr w:type="gramEnd"/>
      <w:r>
        <w:t xml:space="preserve"> </w:t>
      </w:r>
      <w:proofErr w:type="gramStart"/>
      <w:r>
        <w:t>attached,</w:t>
      </w:r>
      <w:proofErr w:type="gramEnd"/>
      <w:r>
        <w:t xml:space="preserve"> are integral parts of the cooperation agreement with the consultant and their staff involved in the study.</w:t>
      </w:r>
    </w:p>
    <w:p w14:paraId="0468941A" w14:textId="75051E10" w:rsidR="007D2FB0" w:rsidRDefault="007D2FB0" w:rsidP="007D2FB0">
      <w:pPr>
        <w:pStyle w:val="ListParagraph"/>
        <w:numPr>
          <w:ilvl w:val="0"/>
          <w:numId w:val="10"/>
        </w:numPr>
        <w:spacing w:before="120" w:after="120"/>
        <w:contextualSpacing w:val="0"/>
        <w:jc w:val="both"/>
      </w:pPr>
      <w:r>
        <w:t>NETZ management reserves the right to reject any incomplete report, and as a result, may withhold the final installment of remuneration.</w:t>
      </w:r>
    </w:p>
    <w:p w14:paraId="3B064DF0" w14:textId="15B3CA85" w:rsidR="007D2FB0" w:rsidRDefault="007D2FB0" w:rsidP="007D2FB0">
      <w:pPr>
        <w:pStyle w:val="ListParagraph"/>
        <w:numPr>
          <w:ilvl w:val="0"/>
          <w:numId w:val="10"/>
        </w:numPr>
        <w:spacing w:before="120" w:after="120"/>
        <w:contextualSpacing w:val="0"/>
        <w:jc w:val="both"/>
      </w:pPr>
      <w:r>
        <w:t>NETZ reserves the right to amend this contract as needed for the program, with prior communication.</w:t>
      </w:r>
    </w:p>
    <w:p w14:paraId="7BE8B545" w14:textId="48CCA02F" w:rsidR="007D2FB0" w:rsidRDefault="007D2FB0" w:rsidP="007D2FB0">
      <w:pPr>
        <w:pStyle w:val="ListParagraph"/>
        <w:numPr>
          <w:ilvl w:val="0"/>
          <w:numId w:val="10"/>
        </w:numPr>
        <w:spacing w:before="120" w:after="120"/>
        <w:contextualSpacing w:val="0"/>
        <w:jc w:val="both"/>
      </w:pPr>
      <w:r>
        <w:t xml:space="preserve">The selected consultant will receive 25% of the total fee upon signing the contract. The final payment will be made after NETZ accepts the final report, ensuring it meets all required elements as outlined in the </w:t>
      </w:r>
      <w:proofErr w:type="spellStart"/>
      <w:r>
        <w:t>ToR</w:t>
      </w:r>
      <w:proofErr w:type="spellEnd"/>
      <w:r>
        <w:t>.</w:t>
      </w:r>
    </w:p>
    <w:p w14:paraId="297F040A" w14:textId="11CCF3F7" w:rsidR="007D2FB0" w:rsidRDefault="007D2FB0" w:rsidP="007D2FB0">
      <w:pPr>
        <w:pStyle w:val="ListParagraph"/>
        <w:numPr>
          <w:ilvl w:val="0"/>
          <w:numId w:val="10"/>
        </w:numPr>
        <w:spacing w:before="120" w:after="120"/>
        <w:contextualSpacing w:val="0"/>
        <w:jc w:val="both"/>
      </w:pPr>
      <w:r>
        <w:t xml:space="preserve">The contract may be terminated if the consultant fails to comply with the terms and conditions of the </w:t>
      </w:r>
      <w:proofErr w:type="spellStart"/>
      <w:r>
        <w:t>ToR</w:t>
      </w:r>
      <w:proofErr w:type="spellEnd"/>
      <w:r>
        <w:t>.</w:t>
      </w:r>
    </w:p>
    <w:p w14:paraId="08CAC3BC" w14:textId="4933D3C4" w:rsidR="007D2FB0" w:rsidRDefault="007D2FB0" w:rsidP="007D2FB0">
      <w:pPr>
        <w:pStyle w:val="ListParagraph"/>
        <w:numPr>
          <w:ilvl w:val="0"/>
          <w:numId w:val="10"/>
        </w:numPr>
        <w:spacing w:before="120" w:after="120"/>
        <w:contextualSpacing w:val="0"/>
        <w:jc w:val="both"/>
      </w:pPr>
      <w:r>
        <w:t>NETZ will cover food, accommodation, and transportation expenses based on actual costs, upon submission of receipts.</w:t>
      </w:r>
    </w:p>
    <w:p w14:paraId="65C3BD70" w14:textId="24CAB440" w:rsidR="007D2FB0" w:rsidRDefault="007D2FB0" w:rsidP="007D2FB0">
      <w:pPr>
        <w:pStyle w:val="ListParagraph"/>
        <w:numPr>
          <w:ilvl w:val="0"/>
          <w:numId w:val="10"/>
        </w:numPr>
        <w:spacing w:before="120" w:after="120"/>
        <w:contextualSpacing w:val="0"/>
        <w:jc w:val="both"/>
      </w:pPr>
      <w:r>
        <w:t>NETZ and the partner organizations will hold the copyright for all results and documents produced during this feasibility study. Any publication, even in part, requires prior approval from NETZ.</w:t>
      </w:r>
    </w:p>
    <w:p w14:paraId="7D79E869" w14:textId="32D7DB51" w:rsidR="007D2FB0" w:rsidRPr="007D2FB0" w:rsidRDefault="007D2FB0" w:rsidP="007D2FB0">
      <w:pPr>
        <w:pStyle w:val="ListParagraph"/>
        <w:numPr>
          <w:ilvl w:val="0"/>
          <w:numId w:val="10"/>
        </w:numPr>
        <w:tabs>
          <w:tab w:val="left" w:pos="567"/>
        </w:tabs>
        <w:spacing w:before="120" w:after="120"/>
        <w:contextualSpacing w:val="0"/>
        <w:jc w:val="both"/>
        <w:rPr>
          <w:lang w:val="en-GB"/>
        </w:rPr>
      </w:pPr>
      <w:r>
        <w:t>VAT and taxes will be deducted at source according to government regulations.</w:t>
      </w:r>
    </w:p>
    <w:p w14:paraId="4802B4BC" w14:textId="77777777" w:rsidR="00F21173" w:rsidRPr="00B075BC" w:rsidRDefault="00F21173" w:rsidP="00F21173">
      <w:pPr>
        <w:ind w:left="360"/>
        <w:contextualSpacing/>
        <w:jc w:val="both"/>
        <w:rPr>
          <w:color w:val="000000"/>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58"/>
        <w:gridCol w:w="1571"/>
        <w:gridCol w:w="3440"/>
      </w:tblGrid>
      <w:tr w:rsidR="00F21173" w:rsidRPr="00B075BC" w14:paraId="3F6A79C5" w14:textId="77777777" w:rsidTr="00135864">
        <w:trPr>
          <w:tblHeader/>
        </w:trPr>
        <w:tc>
          <w:tcPr>
            <w:tcW w:w="4058" w:type="dxa"/>
            <w:shd w:val="clear" w:color="auto" w:fill="D9D9D9"/>
          </w:tcPr>
          <w:p w14:paraId="2ADC7740" w14:textId="77777777" w:rsidR="00F21173" w:rsidRPr="00B075BC" w:rsidRDefault="00F21173">
            <w:pPr>
              <w:contextualSpacing/>
              <w:jc w:val="center"/>
              <w:rPr>
                <w:b/>
                <w:color w:val="000000"/>
                <w:lang w:val="en-GB"/>
              </w:rPr>
            </w:pPr>
            <w:r w:rsidRPr="00B075BC">
              <w:rPr>
                <w:b/>
                <w:color w:val="000000"/>
                <w:lang w:val="en-GB"/>
              </w:rPr>
              <w:t>Name, (NGO,) Position</w:t>
            </w:r>
          </w:p>
        </w:tc>
        <w:tc>
          <w:tcPr>
            <w:tcW w:w="1571" w:type="dxa"/>
            <w:shd w:val="clear" w:color="auto" w:fill="D9D9D9"/>
          </w:tcPr>
          <w:p w14:paraId="66D79BC1" w14:textId="77777777" w:rsidR="00F21173" w:rsidRPr="00B075BC" w:rsidRDefault="00F21173">
            <w:pPr>
              <w:contextualSpacing/>
              <w:jc w:val="center"/>
              <w:rPr>
                <w:b/>
                <w:color w:val="000000"/>
                <w:lang w:val="en-GB"/>
              </w:rPr>
            </w:pPr>
            <w:r w:rsidRPr="00B075BC">
              <w:rPr>
                <w:b/>
                <w:color w:val="000000"/>
                <w:lang w:val="en-GB"/>
              </w:rPr>
              <w:t>Date</w:t>
            </w:r>
          </w:p>
        </w:tc>
        <w:tc>
          <w:tcPr>
            <w:tcW w:w="3440" w:type="dxa"/>
            <w:shd w:val="clear" w:color="auto" w:fill="D9D9D9"/>
          </w:tcPr>
          <w:p w14:paraId="787F1C38" w14:textId="77777777" w:rsidR="00F21173" w:rsidRPr="00B075BC" w:rsidRDefault="00F21173">
            <w:pPr>
              <w:contextualSpacing/>
              <w:jc w:val="center"/>
              <w:rPr>
                <w:b/>
                <w:color w:val="000000"/>
                <w:lang w:val="en-GB"/>
              </w:rPr>
            </w:pPr>
            <w:r w:rsidRPr="00B075BC">
              <w:rPr>
                <w:b/>
                <w:color w:val="000000"/>
                <w:lang w:val="en-GB"/>
              </w:rPr>
              <w:t>Signature</w:t>
            </w:r>
          </w:p>
        </w:tc>
      </w:tr>
      <w:tr w:rsidR="00F21173" w:rsidRPr="00B075BC" w14:paraId="300A042B" w14:textId="77777777" w:rsidTr="00135864">
        <w:tc>
          <w:tcPr>
            <w:tcW w:w="4058" w:type="dxa"/>
          </w:tcPr>
          <w:p w14:paraId="6E1087E7" w14:textId="77777777" w:rsidR="00F21173" w:rsidRPr="00B075BC" w:rsidRDefault="00F21173">
            <w:pPr>
              <w:contextualSpacing/>
              <w:jc w:val="both"/>
              <w:rPr>
                <w:color w:val="000000"/>
                <w:lang w:val="en-GB"/>
              </w:rPr>
            </w:pPr>
          </w:p>
          <w:p w14:paraId="0B3A9ABD" w14:textId="77777777" w:rsidR="00F21173" w:rsidRPr="00B075BC" w:rsidRDefault="00F21173">
            <w:pPr>
              <w:contextualSpacing/>
              <w:jc w:val="both"/>
              <w:rPr>
                <w:color w:val="000000"/>
                <w:lang w:val="en-GB"/>
              </w:rPr>
            </w:pPr>
          </w:p>
        </w:tc>
        <w:tc>
          <w:tcPr>
            <w:tcW w:w="1571" w:type="dxa"/>
          </w:tcPr>
          <w:p w14:paraId="624EF4D6" w14:textId="77777777" w:rsidR="00F21173" w:rsidRPr="00B075BC" w:rsidRDefault="00F21173">
            <w:pPr>
              <w:contextualSpacing/>
              <w:jc w:val="both"/>
              <w:rPr>
                <w:color w:val="000000"/>
                <w:lang w:val="en-GB"/>
              </w:rPr>
            </w:pPr>
          </w:p>
        </w:tc>
        <w:tc>
          <w:tcPr>
            <w:tcW w:w="3440" w:type="dxa"/>
          </w:tcPr>
          <w:p w14:paraId="0A13AE15" w14:textId="77777777" w:rsidR="00F21173" w:rsidRPr="00B075BC" w:rsidRDefault="00F21173">
            <w:pPr>
              <w:contextualSpacing/>
              <w:jc w:val="both"/>
              <w:rPr>
                <w:color w:val="000000"/>
                <w:lang w:val="en-GB"/>
              </w:rPr>
            </w:pPr>
          </w:p>
        </w:tc>
      </w:tr>
      <w:tr w:rsidR="00F21173" w:rsidRPr="00B075BC" w14:paraId="3448BB34" w14:textId="77777777" w:rsidTr="00135864">
        <w:tc>
          <w:tcPr>
            <w:tcW w:w="4058" w:type="dxa"/>
          </w:tcPr>
          <w:p w14:paraId="0B4EA35E" w14:textId="7EAFBD95" w:rsidR="00F21173" w:rsidRPr="00B075BC" w:rsidRDefault="00F21173">
            <w:pPr>
              <w:contextualSpacing/>
              <w:jc w:val="both"/>
              <w:rPr>
                <w:color w:val="000000"/>
                <w:lang w:val="en-GB"/>
              </w:rPr>
            </w:pPr>
          </w:p>
          <w:p w14:paraId="62DDF409" w14:textId="77777777" w:rsidR="00F21173" w:rsidRPr="00B075BC" w:rsidRDefault="00F21173">
            <w:pPr>
              <w:contextualSpacing/>
              <w:jc w:val="both"/>
              <w:rPr>
                <w:color w:val="000000"/>
                <w:lang w:val="en-GB"/>
              </w:rPr>
            </w:pPr>
          </w:p>
          <w:p w14:paraId="77E7E185" w14:textId="77777777" w:rsidR="00F21173" w:rsidRPr="00B075BC" w:rsidRDefault="00F21173">
            <w:pPr>
              <w:contextualSpacing/>
              <w:jc w:val="both"/>
              <w:rPr>
                <w:color w:val="000000"/>
                <w:lang w:val="en-GB"/>
              </w:rPr>
            </w:pPr>
          </w:p>
        </w:tc>
        <w:tc>
          <w:tcPr>
            <w:tcW w:w="1571" w:type="dxa"/>
          </w:tcPr>
          <w:p w14:paraId="15C3ACDF" w14:textId="77777777" w:rsidR="00F21173" w:rsidRPr="00B075BC" w:rsidRDefault="00F21173">
            <w:pPr>
              <w:contextualSpacing/>
              <w:jc w:val="both"/>
              <w:rPr>
                <w:color w:val="000000"/>
                <w:lang w:val="en-GB"/>
              </w:rPr>
            </w:pPr>
          </w:p>
        </w:tc>
        <w:tc>
          <w:tcPr>
            <w:tcW w:w="3440" w:type="dxa"/>
          </w:tcPr>
          <w:p w14:paraId="0ECB9CBD" w14:textId="77777777" w:rsidR="00F21173" w:rsidRPr="00B075BC" w:rsidRDefault="00F21173">
            <w:pPr>
              <w:contextualSpacing/>
              <w:jc w:val="both"/>
              <w:rPr>
                <w:color w:val="000000"/>
                <w:lang w:val="en-GB"/>
              </w:rPr>
            </w:pPr>
          </w:p>
        </w:tc>
      </w:tr>
    </w:tbl>
    <w:p w14:paraId="39C852F9" w14:textId="77777777" w:rsidR="00F21173" w:rsidRPr="00B075BC" w:rsidRDefault="00F21173" w:rsidP="00F21173">
      <w:pPr>
        <w:contextualSpacing/>
        <w:rPr>
          <w:color w:val="000000"/>
          <w:lang w:val="en-GB"/>
        </w:rPr>
      </w:pPr>
    </w:p>
    <w:p w14:paraId="0E45E74E" w14:textId="77777777" w:rsidR="00F51FDA" w:rsidRPr="00B075BC" w:rsidRDefault="00F51FDA">
      <w:pPr>
        <w:rPr>
          <w:lang w:val="en-GB"/>
        </w:rPr>
      </w:pPr>
    </w:p>
    <w:sectPr w:rsidR="00F51FDA" w:rsidRPr="00B075BC" w:rsidSect="00F21173">
      <w:footerReference w:type="even" r:id="rId11"/>
      <w:footerReference w:type="default" r:id="rId12"/>
      <w:pgSz w:w="11909" w:h="16834" w:code="9"/>
      <w:pgMar w:top="1361" w:right="1361" w:bottom="1361" w:left="1361" w:header="720" w:footer="720" w:gutter="0"/>
      <w:paperSrc w:first="7" w:other="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3A5868" w14:textId="77777777" w:rsidR="008868FD" w:rsidRDefault="008868FD">
      <w:r>
        <w:separator/>
      </w:r>
    </w:p>
  </w:endnote>
  <w:endnote w:type="continuationSeparator" w:id="0">
    <w:p w14:paraId="0DCEDD92" w14:textId="77777777" w:rsidR="008868FD" w:rsidRDefault="008868FD">
      <w:r>
        <w:continuationSeparator/>
      </w:r>
    </w:p>
  </w:endnote>
  <w:endnote w:type="continuationNotice" w:id="1">
    <w:p w14:paraId="0EFD22F2" w14:textId="77777777" w:rsidR="008868FD" w:rsidRDefault="008868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3F20C" w14:textId="77777777" w:rsidR="00F91BF8" w:rsidRDefault="00F91BF8">
    <w:pPr>
      <w:pStyle w:val="Foot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14:paraId="5F099D29" w14:textId="77777777" w:rsidR="00F91BF8" w:rsidRDefault="00F91BF8">
    <w:pPr>
      <w:pStyle w:val="Footer"/>
      <w:ind w:right="360"/>
    </w:pPr>
  </w:p>
  <w:p w14:paraId="0EDF0FD4" w14:textId="77777777" w:rsidR="00F91BF8" w:rsidRDefault="00F91BF8"/>
  <w:p w14:paraId="1E6EFB01" w14:textId="77777777" w:rsidR="00F91BF8" w:rsidRDefault="00F91BF8"/>
  <w:p w14:paraId="22A017AD" w14:textId="77777777" w:rsidR="00F91BF8" w:rsidRDefault="00F91BF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11F09" w14:textId="77777777" w:rsidR="00F91BF8" w:rsidRPr="00DD3DA0" w:rsidRDefault="00F91BF8">
    <w:pPr>
      <w:pStyle w:val="Footer"/>
      <w:jc w:val="right"/>
      <w:rPr>
        <w:lang w:val="en-GB"/>
      </w:rPr>
    </w:pPr>
    <w:r w:rsidRPr="00DD3DA0">
      <w:rPr>
        <w:lang w:val="en-GB"/>
      </w:rPr>
      <w:t xml:space="preserve">Page </w:t>
    </w:r>
    <w:r w:rsidRPr="00DD3DA0">
      <w:rPr>
        <w:b/>
        <w:bCs/>
        <w:lang w:val="en-GB"/>
      </w:rPr>
      <w:fldChar w:fldCharType="begin"/>
    </w:r>
    <w:r w:rsidRPr="00DD3DA0">
      <w:rPr>
        <w:b/>
        <w:bCs/>
        <w:lang w:val="en-GB"/>
      </w:rPr>
      <w:instrText>PAGE</w:instrText>
    </w:r>
    <w:r w:rsidRPr="00DD3DA0">
      <w:rPr>
        <w:b/>
        <w:bCs/>
        <w:lang w:val="en-GB"/>
      </w:rPr>
      <w:fldChar w:fldCharType="separate"/>
    </w:r>
    <w:r>
      <w:rPr>
        <w:b/>
        <w:bCs/>
        <w:noProof/>
        <w:lang w:val="en-GB"/>
      </w:rPr>
      <w:t>1</w:t>
    </w:r>
    <w:r w:rsidRPr="00DD3DA0">
      <w:rPr>
        <w:b/>
        <w:bCs/>
        <w:lang w:val="en-GB"/>
      </w:rPr>
      <w:fldChar w:fldCharType="end"/>
    </w:r>
    <w:r w:rsidRPr="00DD3DA0">
      <w:rPr>
        <w:lang w:val="en-GB"/>
      </w:rPr>
      <w:t xml:space="preserve"> of </w:t>
    </w:r>
    <w:r w:rsidRPr="00DD3DA0">
      <w:rPr>
        <w:b/>
        <w:bCs/>
        <w:lang w:val="en-GB"/>
      </w:rPr>
      <w:fldChar w:fldCharType="begin"/>
    </w:r>
    <w:r w:rsidRPr="00DD3DA0">
      <w:rPr>
        <w:b/>
        <w:bCs/>
        <w:lang w:val="en-GB"/>
      </w:rPr>
      <w:instrText>NUMPAGES</w:instrText>
    </w:r>
    <w:r w:rsidRPr="00DD3DA0">
      <w:rPr>
        <w:b/>
        <w:bCs/>
        <w:lang w:val="en-GB"/>
      </w:rPr>
      <w:fldChar w:fldCharType="separate"/>
    </w:r>
    <w:r>
      <w:rPr>
        <w:b/>
        <w:bCs/>
        <w:noProof/>
        <w:lang w:val="en-GB"/>
      </w:rPr>
      <w:t>6</w:t>
    </w:r>
    <w:r w:rsidRPr="00DD3DA0">
      <w:rPr>
        <w:b/>
        <w:bCs/>
        <w:lang w:val="en-GB"/>
      </w:rPr>
      <w:fldChar w:fldCharType="end"/>
    </w:r>
  </w:p>
  <w:p w14:paraId="74706805" w14:textId="77777777" w:rsidR="00F91BF8" w:rsidRDefault="00F91B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1AAA77" w14:textId="77777777" w:rsidR="008868FD" w:rsidRDefault="008868FD">
      <w:r>
        <w:separator/>
      </w:r>
    </w:p>
  </w:footnote>
  <w:footnote w:type="continuationSeparator" w:id="0">
    <w:p w14:paraId="4FE610A3" w14:textId="77777777" w:rsidR="008868FD" w:rsidRDefault="008868FD">
      <w:r>
        <w:continuationSeparator/>
      </w:r>
    </w:p>
  </w:footnote>
  <w:footnote w:type="continuationNotice" w:id="1">
    <w:p w14:paraId="061D5FAF" w14:textId="77777777" w:rsidR="008868FD" w:rsidRDefault="008868F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D7243"/>
    <w:multiLevelType w:val="hybridMultilevel"/>
    <w:tmpl w:val="939C3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174823"/>
    <w:multiLevelType w:val="hybridMultilevel"/>
    <w:tmpl w:val="6310B50E"/>
    <w:lvl w:ilvl="0" w:tplc="0407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85296E"/>
    <w:multiLevelType w:val="hybridMultilevel"/>
    <w:tmpl w:val="B6903488"/>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884693B"/>
    <w:multiLevelType w:val="hybridMultilevel"/>
    <w:tmpl w:val="07D82CA0"/>
    <w:lvl w:ilvl="0" w:tplc="04070017">
      <w:start w:val="1"/>
      <w:numFmt w:val="lowerLetter"/>
      <w:lvlText w:val="%1)"/>
      <w:lvlJc w:val="left"/>
      <w:pPr>
        <w:tabs>
          <w:tab w:val="num" w:pos="720"/>
        </w:tabs>
        <w:ind w:left="720" w:hanging="360"/>
      </w:pPr>
      <w:rPr>
        <w:rFonts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EF68B8"/>
    <w:multiLevelType w:val="hybridMultilevel"/>
    <w:tmpl w:val="469E8628"/>
    <w:lvl w:ilvl="0" w:tplc="1CB0E65A">
      <w:start w:val="1"/>
      <w:numFmt w:val="bullet"/>
      <w:lvlText w:val=""/>
      <w:lvlJc w:val="left"/>
      <w:pPr>
        <w:ind w:left="720" w:hanging="360"/>
      </w:pPr>
      <w:rPr>
        <w:rFonts w:ascii="Symbol" w:hAnsi="Symbol"/>
      </w:rPr>
    </w:lvl>
    <w:lvl w:ilvl="1" w:tplc="AE184640">
      <w:start w:val="1"/>
      <w:numFmt w:val="bullet"/>
      <w:lvlText w:val=""/>
      <w:lvlJc w:val="left"/>
      <w:pPr>
        <w:ind w:left="720" w:hanging="360"/>
      </w:pPr>
      <w:rPr>
        <w:rFonts w:ascii="Symbol" w:hAnsi="Symbol"/>
      </w:rPr>
    </w:lvl>
    <w:lvl w:ilvl="2" w:tplc="7256C98C">
      <w:start w:val="1"/>
      <w:numFmt w:val="bullet"/>
      <w:lvlText w:val=""/>
      <w:lvlJc w:val="left"/>
      <w:pPr>
        <w:ind w:left="720" w:hanging="360"/>
      </w:pPr>
      <w:rPr>
        <w:rFonts w:ascii="Symbol" w:hAnsi="Symbol"/>
      </w:rPr>
    </w:lvl>
    <w:lvl w:ilvl="3" w:tplc="77707AB0">
      <w:start w:val="1"/>
      <w:numFmt w:val="bullet"/>
      <w:lvlText w:val=""/>
      <w:lvlJc w:val="left"/>
      <w:pPr>
        <w:ind w:left="720" w:hanging="360"/>
      </w:pPr>
      <w:rPr>
        <w:rFonts w:ascii="Symbol" w:hAnsi="Symbol"/>
      </w:rPr>
    </w:lvl>
    <w:lvl w:ilvl="4" w:tplc="1E98201E">
      <w:start w:val="1"/>
      <w:numFmt w:val="bullet"/>
      <w:lvlText w:val=""/>
      <w:lvlJc w:val="left"/>
      <w:pPr>
        <w:ind w:left="720" w:hanging="360"/>
      </w:pPr>
      <w:rPr>
        <w:rFonts w:ascii="Symbol" w:hAnsi="Symbol"/>
      </w:rPr>
    </w:lvl>
    <w:lvl w:ilvl="5" w:tplc="7AF6B70A">
      <w:start w:val="1"/>
      <w:numFmt w:val="bullet"/>
      <w:lvlText w:val=""/>
      <w:lvlJc w:val="left"/>
      <w:pPr>
        <w:ind w:left="720" w:hanging="360"/>
      </w:pPr>
      <w:rPr>
        <w:rFonts w:ascii="Symbol" w:hAnsi="Symbol"/>
      </w:rPr>
    </w:lvl>
    <w:lvl w:ilvl="6" w:tplc="6D76C172">
      <w:start w:val="1"/>
      <w:numFmt w:val="bullet"/>
      <w:lvlText w:val=""/>
      <w:lvlJc w:val="left"/>
      <w:pPr>
        <w:ind w:left="720" w:hanging="360"/>
      </w:pPr>
      <w:rPr>
        <w:rFonts w:ascii="Symbol" w:hAnsi="Symbol"/>
      </w:rPr>
    </w:lvl>
    <w:lvl w:ilvl="7" w:tplc="CCE05174">
      <w:start w:val="1"/>
      <w:numFmt w:val="bullet"/>
      <w:lvlText w:val=""/>
      <w:lvlJc w:val="left"/>
      <w:pPr>
        <w:ind w:left="720" w:hanging="360"/>
      </w:pPr>
      <w:rPr>
        <w:rFonts w:ascii="Symbol" w:hAnsi="Symbol"/>
      </w:rPr>
    </w:lvl>
    <w:lvl w:ilvl="8" w:tplc="5BC643E6">
      <w:start w:val="1"/>
      <w:numFmt w:val="bullet"/>
      <w:lvlText w:val=""/>
      <w:lvlJc w:val="left"/>
      <w:pPr>
        <w:ind w:left="720" w:hanging="360"/>
      </w:pPr>
      <w:rPr>
        <w:rFonts w:ascii="Symbol" w:hAnsi="Symbol"/>
      </w:rPr>
    </w:lvl>
  </w:abstractNum>
  <w:abstractNum w:abstractNumId="5" w15:restartNumberingAfterBreak="0">
    <w:nsid w:val="122302A5"/>
    <w:multiLevelType w:val="multilevel"/>
    <w:tmpl w:val="C7E8A2A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A52E0F"/>
    <w:multiLevelType w:val="hybridMultilevel"/>
    <w:tmpl w:val="302A3C24"/>
    <w:lvl w:ilvl="0" w:tplc="04070005">
      <w:start w:val="1"/>
      <w:numFmt w:val="bullet"/>
      <w:lvlText w:val=""/>
      <w:lvlJc w:val="left"/>
      <w:pPr>
        <w:tabs>
          <w:tab w:val="num" w:pos="720"/>
        </w:tabs>
        <w:ind w:left="720" w:hanging="360"/>
      </w:pPr>
      <w:rPr>
        <w:rFonts w:ascii="Wingdings" w:hAnsi="Wingdings"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8F337D"/>
    <w:multiLevelType w:val="hybridMultilevel"/>
    <w:tmpl w:val="DE04F9C8"/>
    <w:lvl w:ilvl="0" w:tplc="3378F58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FA67A3"/>
    <w:multiLevelType w:val="multilevel"/>
    <w:tmpl w:val="281AD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65718E"/>
    <w:multiLevelType w:val="hybridMultilevel"/>
    <w:tmpl w:val="264CB74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0FD4DF9"/>
    <w:multiLevelType w:val="hybridMultilevel"/>
    <w:tmpl w:val="6228109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6E6F6E01"/>
    <w:multiLevelType w:val="multilevel"/>
    <w:tmpl w:val="CF80D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14654010">
    <w:abstractNumId w:val="6"/>
  </w:num>
  <w:num w:numId="2" w16cid:durableId="1928149090">
    <w:abstractNumId w:val="3"/>
  </w:num>
  <w:num w:numId="3" w16cid:durableId="437989675">
    <w:abstractNumId w:val="9"/>
  </w:num>
  <w:num w:numId="4" w16cid:durableId="1048340319">
    <w:abstractNumId w:val="0"/>
  </w:num>
  <w:num w:numId="5" w16cid:durableId="1077438327">
    <w:abstractNumId w:val="7"/>
  </w:num>
  <w:num w:numId="6" w16cid:durableId="230622860">
    <w:abstractNumId w:val="2"/>
  </w:num>
  <w:num w:numId="7" w16cid:durableId="549995378">
    <w:abstractNumId w:val="11"/>
  </w:num>
  <w:num w:numId="8" w16cid:durableId="889533323">
    <w:abstractNumId w:val="8"/>
  </w:num>
  <w:num w:numId="9" w16cid:durableId="328796400">
    <w:abstractNumId w:val="1"/>
  </w:num>
  <w:num w:numId="10" w16cid:durableId="603541404">
    <w:abstractNumId w:val="5"/>
  </w:num>
  <w:num w:numId="11" w16cid:durableId="360522333">
    <w:abstractNumId w:val="4"/>
  </w:num>
  <w:num w:numId="12" w16cid:durableId="55223520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173"/>
    <w:rsid w:val="00005BFE"/>
    <w:rsid w:val="00011D63"/>
    <w:rsid w:val="00025B58"/>
    <w:rsid w:val="00027AE0"/>
    <w:rsid w:val="00030707"/>
    <w:rsid w:val="00033472"/>
    <w:rsid w:val="000335B8"/>
    <w:rsid w:val="0004236A"/>
    <w:rsid w:val="000525AC"/>
    <w:rsid w:val="00060546"/>
    <w:rsid w:val="000729AA"/>
    <w:rsid w:val="00080E7E"/>
    <w:rsid w:val="00092435"/>
    <w:rsid w:val="00093B8E"/>
    <w:rsid w:val="000A4C29"/>
    <w:rsid w:val="000A5643"/>
    <w:rsid w:val="000B617D"/>
    <w:rsid w:val="000C46C9"/>
    <w:rsid w:val="000D25D4"/>
    <w:rsid w:val="000D4921"/>
    <w:rsid w:val="000D552D"/>
    <w:rsid w:val="000D6ABF"/>
    <w:rsid w:val="000E5B50"/>
    <w:rsid w:val="000F3963"/>
    <w:rsid w:val="000F3BEB"/>
    <w:rsid w:val="00100BB6"/>
    <w:rsid w:val="00104E09"/>
    <w:rsid w:val="001140DA"/>
    <w:rsid w:val="001165A7"/>
    <w:rsid w:val="00121213"/>
    <w:rsid w:val="00134581"/>
    <w:rsid w:val="00135864"/>
    <w:rsid w:val="001429AE"/>
    <w:rsid w:val="00143B09"/>
    <w:rsid w:val="001462CA"/>
    <w:rsid w:val="00153F95"/>
    <w:rsid w:val="001615F9"/>
    <w:rsid w:val="00174B30"/>
    <w:rsid w:val="001B13E5"/>
    <w:rsid w:val="001C604D"/>
    <w:rsid w:val="001E3218"/>
    <w:rsid w:val="001E3DFF"/>
    <w:rsid w:val="00223677"/>
    <w:rsid w:val="00225875"/>
    <w:rsid w:val="00252D40"/>
    <w:rsid w:val="00256BBD"/>
    <w:rsid w:val="0025740F"/>
    <w:rsid w:val="00293C43"/>
    <w:rsid w:val="00297146"/>
    <w:rsid w:val="002A4EA1"/>
    <w:rsid w:val="002D05D1"/>
    <w:rsid w:val="002D714C"/>
    <w:rsid w:val="002E5176"/>
    <w:rsid w:val="002F48E8"/>
    <w:rsid w:val="002F67B5"/>
    <w:rsid w:val="0030037C"/>
    <w:rsid w:val="00310343"/>
    <w:rsid w:val="00314624"/>
    <w:rsid w:val="0032350E"/>
    <w:rsid w:val="003256D8"/>
    <w:rsid w:val="00335FEF"/>
    <w:rsid w:val="0035191A"/>
    <w:rsid w:val="003B1441"/>
    <w:rsid w:val="003B6322"/>
    <w:rsid w:val="003C3905"/>
    <w:rsid w:val="003C39E5"/>
    <w:rsid w:val="003D0A2C"/>
    <w:rsid w:val="003E0E36"/>
    <w:rsid w:val="003F62EB"/>
    <w:rsid w:val="00411215"/>
    <w:rsid w:val="00435721"/>
    <w:rsid w:val="00466290"/>
    <w:rsid w:val="00466976"/>
    <w:rsid w:val="00470AE0"/>
    <w:rsid w:val="004737AF"/>
    <w:rsid w:val="00485BCD"/>
    <w:rsid w:val="0048641A"/>
    <w:rsid w:val="0049643A"/>
    <w:rsid w:val="004A0832"/>
    <w:rsid w:val="004C53FA"/>
    <w:rsid w:val="004D765E"/>
    <w:rsid w:val="004E0F5A"/>
    <w:rsid w:val="004E681E"/>
    <w:rsid w:val="004E68CB"/>
    <w:rsid w:val="004F3350"/>
    <w:rsid w:val="0050237C"/>
    <w:rsid w:val="00510F82"/>
    <w:rsid w:val="00532D6A"/>
    <w:rsid w:val="005432B4"/>
    <w:rsid w:val="00547295"/>
    <w:rsid w:val="00565E70"/>
    <w:rsid w:val="005733F3"/>
    <w:rsid w:val="00577194"/>
    <w:rsid w:val="00577741"/>
    <w:rsid w:val="00583B78"/>
    <w:rsid w:val="00585AF0"/>
    <w:rsid w:val="005A31C1"/>
    <w:rsid w:val="005D6C13"/>
    <w:rsid w:val="006105F0"/>
    <w:rsid w:val="00620DC6"/>
    <w:rsid w:val="006253E7"/>
    <w:rsid w:val="006265E6"/>
    <w:rsid w:val="006425E8"/>
    <w:rsid w:val="00644E9E"/>
    <w:rsid w:val="0065677E"/>
    <w:rsid w:val="0066499B"/>
    <w:rsid w:val="0066501D"/>
    <w:rsid w:val="00680CD2"/>
    <w:rsid w:val="00694E9C"/>
    <w:rsid w:val="006A2E28"/>
    <w:rsid w:val="006B522B"/>
    <w:rsid w:val="006C11F1"/>
    <w:rsid w:val="006C3E6D"/>
    <w:rsid w:val="006C7EA0"/>
    <w:rsid w:val="006D20A1"/>
    <w:rsid w:val="006D21C5"/>
    <w:rsid w:val="006D4C1A"/>
    <w:rsid w:val="006D5486"/>
    <w:rsid w:val="00722BF4"/>
    <w:rsid w:val="00741BC5"/>
    <w:rsid w:val="0074480E"/>
    <w:rsid w:val="007459A6"/>
    <w:rsid w:val="00750BB4"/>
    <w:rsid w:val="00751C5B"/>
    <w:rsid w:val="00755613"/>
    <w:rsid w:val="00760030"/>
    <w:rsid w:val="0076480D"/>
    <w:rsid w:val="007A2743"/>
    <w:rsid w:val="007A5118"/>
    <w:rsid w:val="007B6370"/>
    <w:rsid w:val="007C3334"/>
    <w:rsid w:val="007D2FB0"/>
    <w:rsid w:val="007E4419"/>
    <w:rsid w:val="008015FD"/>
    <w:rsid w:val="00803265"/>
    <w:rsid w:val="008208A0"/>
    <w:rsid w:val="008247A8"/>
    <w:rsid w:val="00825D5B"/>
    <w:rsid w:val="00836746"/>
    <w:rsid w:val="008515B3"/>
    <w:rsid w:val="00852CCD"/>
    <w:rsid w:val="00853150"/>
    <w:rsid w:val="00860382"/>
    <w:rsid w:val="0086174C"/>
    <w:rsid w:val="00864800"/>
    <w:rsid w:val="008649DE"/>
    <w:rsid w:val="00865C44"/>
    <w:rsid w:val="00871475"/>
    <w:rsid w:val="008744FC"/>
    <w:rsid w:val="008868FD"/>
    <w:rsid w:val="00891A93"/>
    <w:rsid w:val="008922B9"/>
    <w:rsid w:val="008A009B"/>
    <w:rsid w:val="008A00B9"/>
    <w:rsid w:val="008A4D32"/>
    <w:rsid w:val="008A545F"/>
    <w:rsid w:val="008B3CAE"/>
    <w:rsid w:val="008B5974"/>
    <w:rsid w:val="008C5DDF"/>
    <w:rsid w:val="008E5962"/>
    <w:rsid w:val="008E73C7"/>
    <w:rsid w:val="008F5058"/>
    <w:rsid w:val="00911AD7"/>
    <w:rsid w:val="00911BE2"/>
    <w:rsid w:val="00911CE8"/>
    <w:rsid w:val="00916BAF"/>
    <w:rsid w:val="009177BF"/>
    <w:rsid w:val="00921ADE"/>
    <w:rsid w:val="00927B11"/>
    <w:rsid w:val="0093202E"/>
    <w:rsid w:val="00943AF8"/>
    <w:rsid w:val="00953902"/>
    <w:rsid w:val="0096017A"/>
    <w:rsid w:val="00960B74"/>
    <w:rsid w:val="009652CC"/>
    <w:rsid w:val="0098503A"/>
    <w:rsid w:val="00990C0C"/>
    <w:rsid w:val="00995779"/>
    <w:rsid w:val="009B067B"/>
    <w:rsid w:val="009D1B91"/>
    <w:rsid w:val="009D3ECC"/>
    <w:rsid w:val="009F5062"/>
    <w:rsid w:val="009F606B"/>
    <w:rsid w:val="00A140BF"/>
    <w:rsid w:val="00A369C1"/>
    <w:rsid w:val="00A47D72"/>
    <w:rsid w:val="00A824C4"/>
    <w:rsid w:val="00A8436C"/>
    <w:rsid w:val="00A92087"/>
    <w:rsid w:val="00AA1060"/>
    <w:rsid w:val="00AA3A11"/>
    <w:rsid w:val="00AD1887"/>
    <w:rsid w:val="00AD1F43"/>
    <w:rsid w:val="00AD2F66"/>
    <w:rsid w:val="00AE01C6"/>
    <w:rsid w:val="00AE01FF"/>
    <w:rsid w:val="00AE020D"/>
    <w:rsid w:val="00AE10DB"/>
    <w:rsid w:val="00AE56B1"/>
    <w:rsid w:val="00B075BC"/>
    <w:rsid w:val="00B14520"/>
    <w:rsid w:val="00B21ECD"/>
    <w:rsid w:val="00B232A1"/>
    <w:rsid w:val="00B24039"/>
    <w:rsid w:val="00B33F7F"/>
    <w:rsid w:val="00B525AB"/>
    <w:rsid w:val="00B5566C"/>
    <w:rsid w:val="00B706A4"/>
    <w:rsid w:val="00B836A2"/>
    <w:rsid w:val="00BD475E"/>
    <w:rsid w:val="00BD7D4E"/>
    <w:rsid w:val="00BE6A9C"/>
    <w:rsid w:val="00BF2277"/>
    <w:rsid w:val="00BF3E36"/>
    <w:rsid w:val="00BF5CE1"/>
    <w:rsid w:val="00BF67AD"/>
    <w:rsid w:val="00BF7BE2"/>
    <w:rsid w:val="00C029FC"/>
    <w:rsid w:val="00C035AA"/>
    <w:rsid w:val="00C1541E"/>
    <w:rsid w:val="00C4014A"/>
    <w:rsid w:val="00C43B52"/>
    <w:rsid w:val="00C5393C"/>
    <w:rsid w:val="00C57C2B"/>
    <w:rsid w:val="00C65404"/>
    <w:rsid w:val="00C76E66"/>
    <w:rsid w:val="00C852CE"/>
    <w:rsid w:val="00C868CD"/>
    <w:rsid w:val="00C93391"/>
    <w:rsid w:val="00CB0A3F"/>
    <w:rsid w:val="00CB2A05"/>
    <w:rsid w:val="00CD6F54"/>
    <w:rsid w:val="00CE7A99"/>
    <w:rsid w:val="00D04ED3"/>
    <w:rsid w:val="00D062F3"/>
    <w:rsid w:val="00D1692D"/>
    <w:rsid w:val="00D21C94"/>
    <w:rsid w:val="00D234A4"/>
    <w:rsid w:val="00D2594B"/>
    <w:rsid w:val="00D30F07"/>
    <w:rsid w:val="00D32BE5"/>
    <w:rsid w:val="00D445AB"/>
    <w:rsid w:val="00D51165"/>
    <w:rsid w:val="00D51736"/>
    <w:rsid w:val="00D575A8"/>
    <w:rsid w:val="00D61DC4"/>
    <w:rsid w:val="00D66601"/>
    <w:rsid w:val="00D818C5"/>
    <w:rsid w:val="00DA1803"/>
    <w:rsid w:val="00DA238E"/>
    <w:rsid w:val="00DB4E69"/>
    <w:rsid w:val="00DD2448"/>
    <w:rsid w:val="00DD7DBF"/>
    <w:rsid w:val="00DE1E92"/>
    <w:rsid w:val="00DF6B30"/>
    <w:rsid w:val="00E14203"/>
    <w:rsid w:val="00E34B09"/>
    <w:rsid w:val="00E501B3"/>
    <w:rsid w:val="00E67DD9"/>
    <w:rsid w:val="00E74CFD"/>
    <w:rsid w:val="00E761B3"/>
    <w:rsid w:val="00EA7797"/>
    <w:rsid w:val="00EB23D3"/>
    <w:rsid w:val="00EE3E75"/>
    <w:rsid w:val="00EE5D58"/>
    <w:rsid w:val="00EF552A"/>
    <w:rsid w:val="00EF6D8F"/>
    <w:rsid w:val="00F0229B"/>
    <w:rsid w:val="00F05E2C"/>
    <w:rsid w:val="00F21173"/>
    <w:rsid w:val="00F34D91"/>
    <w:rsid w:val="00F36057"/>
    <w:rsid w:val="00F51FDA"/>
    <w:rsid w:val="00F5404B"/>
    <w:rsid w:val="00F572AF"/>
    <w:rsid w:val="00F67A45"/>
    <w:rsid w:val="00F743CD"/>
    <w:rsid w:val="00F75938"/>
    <w:rsid w:val="00F7721B"/>
    <w:rsid w:val="00F80FB2"/>
    <w:rsid w:val="00F91BF8"/>
    <w:rsid w:val="00FA382D"/>
    <w:rsid w:val="00FC0683"/>
    <w:rsid w:val="00FD3F1E"/>
    <w:rsid w:val="00FE4A21"/>
    <w:rsid w:val="00FE6E51"/>
    <w:rsid w:val="00FF4A71"/>
    <w:rsid w:val="00FF714F"/>
    <w:rsid w:val="04B21F7A"/>
    <w:rsid w:val="0C847336"/>
    <w:rsid w:val="15C71307"/>
    <w:rsid w:val="19E8AB50"/>
    <w:rsid w:val="1C211140"/>
    <w:rsid w:val="1E1B3D87"/>
    <w:rsid w:val="2095BC9C"/>
    <w:rsid w:val="29C241B5"/>
    <w:rsid w:val="2C72EE99"/>
    <w:rsid w:val="2F62B0A9"/>
    <w:rsid w:val="31C5D278"/>
    <w:rsid w:val="404B2CDD"/>
    <w:rsid w:val="453DD312"/>
    <w:rsid w:val="46737F71"/>
    <w:rsid w:val="4E0BA2CA"/>
    <w:rsid w:val="52C9C19E"/>
    <w:rsid w:val="54E18A70"/>
    <w:rsid w:val="5597BD4B"/>
    <w:rsid w:val="5D09273A"/>
    <w:rsid w:val="60D2466F"/>
    <w:rsid w:val="62EB4F2C"/>
    <w:rsid w:val="65501021"/>
    <w:rsid w:val="68523280"/>
    <w:rsid w:val="6AEA0118"/>
    <w:rsid w:val="6C2B98C2"/>
    <w:rsid w:val="6FC99FCD"/>
    <w:rsid w:val="77F436EF"/>
    <w:rsid w:val="7B6B91F2"/>
    <w:rsid w:val="7E8ED65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2A111"/>
  <w15:chartTrackingRefBased/>
  <w15:docId w15:val="{465C5051-97E0-4056-B859-EFC277FC7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1173"/>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F211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11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117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117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117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117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117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117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117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11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11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117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117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117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11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11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11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1173"/>
    <w:rPr>
      <w:rFonts w:eastAsiaTheme="majorEastAsia" w:cstheme="majorBidi"/>
      <w:color w:val="272727" w:themeColor="text1" w:themeTint="D8"/>
    </w:rPr>
  </w:style>
  <w:style w:type="paragraph" w:styleId="Title">
    <w:name w:val="Title"/>
    <w:basedOn w:val="Normal"/>
    <w:next w:val="Normal"/>
    <w:link w:val="TitleChar"/>
    <w:uiPriority w:val="10"/>
    <w:qFormat/>
    <w:rsid w:val="00F2117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11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11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11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1173"/>
    <w:pPr>
      <w:spacing w:before="160"/>
      <w:jc w:val="center"/>
    </w:pPr>
    <w:rPr>
      <w:i/>
      <w:iCs/>
      <w:color w:val="404040" w:themeColor="text1" w:themeTint="BF"/>
    </w:rPr>
  </w:style>
  <w:style w:type="character" w:customStyle="1" w:styleId="QuoteChar">
    <w:name w:val="Quote Char"/>
    <w:basedOn w:val="DefaultParagraphFont"/>
    <w:link w:val="Quote"/>
    <w:uiPriority w:val="29"/>
    <w:rsid w:val="00F21173"/>
    <w:rPr>
      <w:i/>
      <w:iCs/>
      <w:color w:val="404040" w:themeColor="text1" w:themeTint="BF"/>
    </w:rPr>
  </w:style>
  <w:style w:type="paragraph" w:styleId="ListParagraph">
    <w:name w:val="List Paragraph"/>
    <w:basedOn w:val="Normal"/>
    <w:uiPriority w:val="34"/>
    <w:qFormat/>
    <w:rsid w:val="00F21173"/>
    <w:pPr>
      <w:ind w:left="720"/>
      <w:contextualSpacing/>
    </w:pPr>
  </w:style>
  <w:style w:type="character" w:styleId="IntenseEmphasis">
    <w:name w:val="Intense Emphasis"/>
    <w:basedOn w:val="DefaultParagraphFont"/>
    <w:uiPriority w:val="21"/>
    <w:qFormat/>
    <w:rsid w:val="00F21173"/>
    <w:rPr>
      <w:i/>
      <w:iCs/>
      <w:color w:val="0F4761" w:themeColor="accent1" w:themeShade="BF"/>
    </w:rPr>
  </w:style>
  <w:style w:type="paragraph" w:styleId="IntenseQuote">
    <w:name w:val="Intense Quote"/>
    <w:basedOn w:val="Normal"/>
    <w:next w:val="Normal"/>
    <w:link w:val="IntenseQuoteChar"/>
    <w:uiPriority w:val="30"/>
    <w:qFormat/>
    <w:rsid w:val="00F211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1173"/>
    <w:rPr>
      <w:i/>
      <w:iCs/>
      <w:color w:val="0F4761" w:themeColor="accent1" w:themeShade="BF"/>
    </w:rPr>
  </w:style>
  <w:style w:type="character" w:styleId="IntenseReference">
    <w:name w:val="Intense Reference"/>
    <w:basedOn w:val="DefaultParagraphFont"/>
    <w:uiPriority w:val="32"/>
    <w:qFormat/>
    <w:rsid w:val="00F21173"/>
    <w:rPr>
      <w:b/>
      <w:bCs/>
      <w:smallCaps/>
      <w:color w:val="0F4761" w:themeColor="accent1" w:themeShade="BF"/>
      <w:spacing w:val="5"/>
    </w:rPr>
  </w:style>
  <w:style w:type="paragraph" w:styleId="Footer">
    <w:name w:val="footer"/>
    <w:basedOn w:val="Normal"/>
    <w:link w:val="FooterChar"/>
    <w:uiPriority w:val="99"/>
    <w:rsid w:val="00F21173"/>
    <w:pPr>
      <w:tabs>
        <w:tab w:val="center" w:pos="4536"/>
        <w:tab w:val="right" w:pos="9072"/>
      </w:tabs>
    </w:pPr>
  </w:style>
  <w:style w:type="character" w:customStyle="1" w:styleId="FooterChar">
    <w:name w:val="Footer Char"/>
    <w:basedOn w:val="DefaultParagraphFont"/>
    <w:link w:val="Footer"/>
    <w:uiPriority w:val="99"/>
    <w:rsid w:val="00F21173"/>
    <w:rPr>
      <w:rFonts w:ascii="Times New Roman" w:eastAsia="Times New Roman" w:hAnsi="Times New Roman" w:cs="Times New Roman"/>
      <w:kern w:val="0"/>
      <w:sz w:val="24"/>
      <w:szCs w:val="24"/>
      <w14:ligatures w14:val="none"/>
    </w:rPr>
  </w:style>
  <w:style w:type="character" w:styleId="PageNumber">
    <w:name w:val="page number"/>
    <w:basedOn w:val="DefaultParagraphFont"/>
    <w:rsid w:val="00F21173"/>
  </w:style>
  <w:style w:type="paragraph" w:customStyle="1" w:styleId="Study2">
    <w:name w:val="Study 2"/>
    <w:basedOn w:val="Normal"/>
    <w:rsid w:val="00F21173"/>
    <w:pPr>
      <w:spacing w:after="240" w:line="260" w:lineRule="atLeast"/>
      <w:jc w:val="both"/>
    </w:pPr>
    <w:rPr>
      <w:rFonts w:ascii="Arial" w:hAnsi="Arial" w:cs="Arial"/>
      <w:bCs/>
      <w:sz w:val="18"/>
      <w:szCs w:val="20"/>
      <w:lang w:val="en-GB"/>
    </w:rPr>
  </w:style>
  <w:style w:type="paragraph" w:styleId="Header">
    <w:name w:val="header"/>
    <w:basedOn w:val="Normal"/>
    <w:link w:val="HeaderChar"/>
    <w:uiPriority w:val="99"/>
    <w:semiHidden/>
    <w:unhideWhenUsed/>
    <w:rsid w:val="006C3E6D"/>
    <w:pPr>
      <w:tabs>
        <w:tab w:val="center" w:pos="4680"/>
        <w:tab w:val="right" w:pos="9360"/>
      </w:tabs>
    </w:pPr>
  </w:style>
  <w:style w:type="character" w:customStyle="1" w:styleId="HeaderChar">
    <w:name w:val="Header Char"/>
    <w:basedOn w:val="DefaultParagraphFont"/>
    <w:link w:val="Header"/>
    <w:uiPriority w:val="99"/>
    <w:semiHidden/>
    <w:rsid w:val="00852CCD"/>
    <w:rPr>
      <w:rFonts w:ascii="Times New Roman" w:eastAsia="Times New Roman" w:hAnsi="Times New Roman" w:cs="Times New Roman"/>
      <w:kern w:val="0"/>
      <w:sz w:val="24"/>
      <w:szCs w:val="24"/>
      <w14:ligatures w14:val="none"/>
    </w:rPr>
  </w:style>
  <w:style w:type="paragraph" w:styleId="NormalWeb">
    <w:name w:val="Normal (Web)"/>
    <w:basedOn w:val="Normal"/>
    <w:uiPriority w:val="99"/>
    <w:semiHidden/>
    <w:unhideWhenUsed/>
    <w:rsid w:val="006253E7"/>
    <w:pPr>
      <w:spacing w:before="100" w:beforeAutospacing="1" w:after="100" w:afterAutospacing="1"/>
    </w:pPr>
    <w:rPr>
      <w:lang w:val="en-GB" w:eastAsia="en-GB"/>
    </w:rPr>
  </w:style>
  <w:style w:type="character" w:styleId="CommentReference">
    <w:name w:val="annotation reference"/>
    <w:basedOn w:val="DefaultParagraphFont"/>
    <w:uiPriority w:val="99"/>
    <w:semiHidden/>
    <w:unhideWhenUsed/>
    <w:rsid w:val="009D1B91"/>
    <w:rPr>
      <w:sz w:val="16"/>
      <w:szCs w:val="16"/>
    </w:rPr>
  </w:style>
  <w:style w:type="paragraph" w:styleId="CommentText">
    <w:name w:val="annotation text"/>
    <w:basedOn w:val="Normal"/>
    <w:link w:val="CommentTextChar"/>
    <w:uiPriority w:val="99"/>
    <w:unhideWhenUsed/>
    <w:rsid w:val="009D1B91"/>
    <w:rPr>
      <w:sz w:val="20"/>
      <w:szCs w:val="20"/>
    </w:rPr>
  </w:style>
  <w:style w:type="character" w:customStyle="1" w:styleId="CommentTextChar">
    <w:name w:val="Comment Text Char"/>
    <w:basedOn w:val="DefaultParagraphFont"/>
    <w:link w:val="CommentText"/>
    <w:uiPriority w:val="99"/>
    <w:rsid w:val="009D1B91"/>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9D1B91"/>
    <w:rPr>
      <w:b/>
      <w:bCs/>
    </w:rPr>
  </w:style>
  <w:style w:type="character" w:customStyle="1" w:styleId="CommentSubjectChar">
    <w:name w:val="Comment Subject Char"/>
    <w:basedOn w:val="CommentTextChar"/>
    <w:link w:val="CommentSubject"/>
    <w:uiPriority w:val="99"/>
    <w:semiHidden/>
    <w:rsid w:val="009D1B91"/>
    <w:rPr>
      <w:rFonts w:ascii="Times New Roman" w:eastAsia="Times New Roman" w:hAnsi="Times New Roman" w:cs="Times New Roman"/>
      <w:b/>
      <w:bCs/>
      <w:kern w:val="0"/>
      <w:sz w:val="20"/>
      <w:szCs w:val="20"/>
      <w14:ligatures w14:val="none"/>
    </w:rPr>
  </w:style>
  <w:style w:type="character" w:styleId="Strong">
    <w:name w:val="Strong"/>
    <w:basedOn w:val="DefaultParagraphFont"/>
    <w:uiPriority w:val="22"/>
    <w:qFormat/>
    <w:rsid w:val="00C1541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260009">
      <w:bodyDiv w:val="1"/>
      <w:marLeft w:val="0"/>
      <w:marRight w:val="0"/>
      <w:marTop w:val="0"/>
      <w:marBottom w:val="0"/>
      <w:divBdr>
        <w:top w:val="none" w:sz="0" w:space="0" w:color="auto"/>
        <w:left w:val="none" w:sz="0" w:space="0" w:color="auto"/>
        <w:bottom w:val="none" w:sz="0" w:space="0" w:color="auto"/>
        <w:right w:val="none" w:sz="0" w:space="0" w:color="auto"/>
      </w:divBdr>
      <w:divsChild>
        <w:div w:id="1808082303">
          <w:marLeft w:val="0"/>
          <w:marRight w:val="0"/>
          <w:marTop w:val="0"/>
          <w:marBottom w:val="0"/>
          <w:divBdr>
            <w:top w:val="none" w:sz="0" w:space="0" w:color="auto"/>
            <w:left w:val="none" w:sz="0" w:space="0" w:color="auto"/>
            <w:bottom w:val="none" w:sz="0" w:space="0" w:color="auto"/>
            <w:right w:val="none" w:sz="0" w:space="0" w:color="auto"/>
          </w:divBdr>
          <w:divsChild>
            <w:div w:id="939097366">
              <w:marLeft w:val="0"/>
              <w:marRight w:val="0"/>
              <w:marTop w:val="0"/>
              <w:marBottom w:val="0"/>
              <w:divBdr>
                <w:top w:val="none" w:sz="0" w:space="0" w:color="auto"/>
                <w:left w:val="none" w:sz="0" w:space="0" w:color="auto"/>
                <w:bottom w:val="none" w:sz="0" w:space="0" w:color="auto"/>
                <w:right w:val="none" w:sz="0" w:space="0" w:color="auto"/>
              </w:divBdr>
              <w:divsChild>
                <w:div w:id="2003120630">
                  <w:marLeft w:val="0"/>
                  <w:marRight w:val="0"/>
                  <w:marTop w:val="0"/>
                  <w:marBottom w:val="0"/>
                  <w:divBdr>
                    <w:top w:val="none" w:sz="0" w:space="0" w:color="auto"/>
                    <w:left w:val="none" w:sz="0" w:space="0" w:color="auto"/>
                    <w:bottom w:val="none" w:sz="0" w:space="0" w:color="auto"/>
                    <w:right w:val="none" w:sz="0" w:space="0" w:color="auto"/>
                  </w:divBdr>
                  <w:divsChild>
                    <w:div w:id="1188564549">
                      <w:marLeft w:val="0"/>
                      <w:marRight w:val="0"/>
                      <w:marTop w:val="0"/>
                      <w:marBottom w:val="0"/>
                      <w:divBdr>
                        <w:top w:val="none" w:sz="0" w:space="0" w:color="auto"/>
                        <w:left w:val="none" w:sz="0" w:space="0" w:color="auto"/>
                        <w:bottom w:val="none" w:sz="0" w:space="0" w:color="auto"/>
                        <w:right w:val="none" w:sz="0" w:space="0" w:color="auto"/>
                      </w:divBdr>
                      <w:divsChild>
                        <w:div w:id="1982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744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429565">
      <w:bodyDiv w:val="1"/>
      <w:marLeft w:val="0"/>
      <w:marRight w:val="0"/>
      <w:marTop w:val="0"/>
      <w:marBottom w:val="0"/>
      <w:divBdr>
        <w:top w:val="none" w:sz="0" w:space="0" w:color="auto"/>
        <w:left w:val="none" w:sz="0" w:space="0" w:color="auto"/>
        <w:bottom w:val="none" w:sz="0" w:space="0" w:color="auto"/>
        <w:right w:val="none" w:sz="0" w:space="0" w:color="auto"/>
      </w:divBdr>
      <w:divsChild>
        <w:div w:id="337274315">
          <w:marLeft w:val="0"/>
          <w:marRight w:val="0"/>
          <w:marTop w:val="0"/>
          <w:marBottom w:val="0"/>
          <w:divBdr>
            <w:top w:val="none" w:sz="0" w:space="0" w:color="auto"/>
            <w:left w:val="none" w:sz="0" w:space="0" w:color="auto"/>
            <w:bottom w:val="none" w:sz="0" w:space="0" w:color="auto"/>
            <w:right w:val="none" w:sz="0" w:space="0" w:color="auto"/>
          </w:divBdr>
          <w:divsChild>
            <w:div w:id="1414277877">
              <w:marLeft w:val="0"/>
              <w:marRight w:val="0"/>
              <w:marTop w:val="0"/>
              <w:marBottom w:val="0"/>
              <w:divBdr>
                <w:top w:val="none" w:sz="0" w:space="0" w:color="auto"/>
                <w:left w:val="none" w:sz="0" w:space="0" w:color="auto"/>
                <w:bottom w:val="none" w:sz="0" w:space="0" w:color="auto"/>
                <w:right w:val="none" w:sz="0" w:space="0" w:color="auto"/>
              </w:divBdr>
              <w:divsChild>
                <w:div w:id="49696672">
                  <w:marLeft w:val="0"/>
                  <w:marRight w:val="0"/>
                  <w:marTop w:val="0"/>
                  <w:marBottom w:val="0"/>
                  <w:divBdr>
                    <w:top w:val="none" w:sz="0" w:space="0" w:color="auto"/>
                    <w:left w:val="none" w:sz="0" w:space="0" w:color="auto"/>
                    <w:bottom w:val="none" w:sz="0" w:space="0" w:color="auto"/>
                    <w:right w:val="none" w:sz="0" w:space="0" w:color="auto"/>
                  </w:divBdr>
                  <w:divsChild>
                    <w:div w:id="248926988">
                      <w:marLeft w:val="0"/>
                      <w:marRight w:val="0"/>
                      <w:marTop w:val="0"/>
                      <w:marBottom w:val="0"/>
                      <w:divBdr>
                        <w:top w:val="none" w:sz="0" w:space="0" w:color="auto"/>
                        <w:left w:val="none" w:sz="0" w:space="0" w:color="auto"/>
                        <w:bottom w:val="none" w:sz="0" w:space="0" w:color="auto"/>
                        <w:right w:val="none" w:sz="0" w:space="0" w:color="auto"/>
                      </w:divBdr>
                      <w:divsChild>
                        <w:div w:id="114910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96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732483">
      <w:bodyDiv w:val="1"/>
      <w:marLeft w:val="0"/>
      <w:marRight w:val="0"/>
      <w:marTop w:val="0"/>
      <w:marBottom w:val="0"/>
      <w:divBdr>
        <w:top w:val="none" w:sz="0" w:space="0" w:color="auto"/>
        <w:left w:val="none" w:sz="0" w:space="0" w:color="auto"/>
        <w:bottom w:val="none" w:sz="0" w:space="0" w:color="auto"/>
        <w:right w:val="none" w:sz="0" w:space="0" w:color="auto"/>
      </w:divBdr>
      <w:divsChild>
        <w:div w:id="1216503119">
          <w:marLeft w:val="0"/>
          <w:marRight w:val="0"/>
          <w:marTop w:val="0"/>
          <w:marBottom w:val="0"/>
          <w:divBdr>
            <w:top w:val="none" w:sz="0" w:space="0" w:color="auto"/>
            <w:left w:val="none" w:sz="0" w:space="0" w:color="auto"/>
            <w:bottom w:val="none" w:sz="0" w:space="0" w:color="auto"/>
            <w:right w:val="none" w:sz="0" w:space="0" w:color="auto"/>
          </w:divBdr>
          <w:divsChild>
            <w:div w:id="102651293">
              <w:marLeft w:val="0"/>
              <w:marRight w:val="0"/>
              <w:marTop w:val="0"/>
              <w:marBottom w:val="0"/>
              <w:divBdr>
                <w:top w:val="none" w:sz="0" w:space="0" w:color="auto"/>
                <w:left w:val="none" w:sz="0" w:space="0" w:color="auto"/>
                <w:bottom w:val="none" w:sz="0" w:space="0" w:color="auto"/>
                <w:right w:val="none" w:sz="0" w:space="0" w:color="auto"/>
              </w:divBdr>
            </w:div>
            <w:div w:id="1544175562">
              <w:marLeft w:val="0"/>
              <w:marRight w:val="0"/>
              <w:marTop w:val="0"/>
              <w:marBottom w:val="0"/>
              <w:divBdr>
                <w:top w:val="none" w:sz="0" w:space="0" w:color="auto"/>
                <w:left w:val="none" w:sz="0" w:space="0" w:color="auto"/>
                <w:bottom w:val="none" w:sz="0" w:space="0" w:color="auto"/>
                <w:right w:val="none" w:sz="0" w:space="0" w:color="auto"/>
              </w:divBdr>
              <w:divsChild>
                <w:div w:id="868101796">
                  <w:marLeft w:val="0"/>
                  <w:marRight w:val="0"/>
                  <w:marTop w:val="0"/>
                  <w:marBottom w:val="0"/>
                  <w:divBdr>
                    <w:top w:val="none" w:sz="0" w:space="0" w:color="auto"/>
                    <w:left w:val="none" w:sz="0" w:space="0" w:color="auto"/>
                    <w:bottom w:val="none" w:sz="0" w:space="0" w:color="auto"/>
                    <w:right w:val="none" w:sz="0" w:space="0" w:color="auto"/>
                  </w:divBdr>
                  <w:divsChild>
                    <w:div w:id="1301694971">
                      <w:marLeft w:val="0"/>
                      <w:marRight w:val="0"/>
                      <w:marTop w:val="0"/>
                      <w:marBottom w:val="0"/>
                      <w:divBdr>
                        <w:top w:val="none" w:sz="0" w:space="0" w:color="auto"/>
                        <w:left w:val="none" w:sz="0" w:space="0" w:color="auto"/>
                        <w:bottom w:val="none" w:sz="0" w:space="0" w:color="auto"/>
                        <w:right w:val="none" w:sz="0" w:space="0" w:color="auto"/>
                      </w:divBdr>
                      <w:divsChild>
                        <w:div w:id="201765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3930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045A399376F1B4FAA83F12BE6FE2F6C" ma:contentTypeVersion="32" ma:contentTypeDescription="Create a new document." ma:contentTypeScope="" ma:versionID="0538455c3384864579997f6c492a3109">
  <xsd:schema xmlns:xsd="http://www.w3.org/2001/XMLSchema" xmlns:xs="http://www.w3.org/2001/XMLSchema" xmlns:p="http://schemas.microsoft.com/office/2006/metadata/properties" xmlns:ns2="e5d5e8e5-a913-4129-baaf-f3cafaf37ac7" xmlns:ns3="d5a6b885-04cb-4a06-9323-80b82e3554f2" targetNamespace="http://schemas.microsoft.com/office/2006/metadata/properties" ma:root="true" ma:fieldsID="5d9c17a90ae6c48cc8aef632be0b238d" ns2:_="" ns3:_="">
    <xsd:import namespace="e5d5e8e5-a913-4129-baaf-f3cafaf37ac7"/>
    <xsd:import namespace="d5a6b885-04cb-4a06-9323-80b82e3554f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d5e8e5-a913-4129-baaf-f3cafaf37a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a5244a-9b5c-483f-8c32-656cceb002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a6b885-04cb-4a06-9323-80b82e3554f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5ff250f-8c85-47fe-8d5a-f7b1579b54b4}" ma:internalName="TaxCatchAll" ma:showField="CatchAllData" ma:web="d5a6b885-04cb-4a06-9323-80b82e3554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5d5e8e5-a913-4129-baaf-f3cafaf37ac7">
      <Terms xmlns="http://schemas.microsoft.com/office/infopath/2007/PartnerControls"/>
    </lcf76f155ced4ddcb4097134ff3c332f>
    <TaxCatchAll xmlns="d5a6b885-04cb-4a06-9323-80b82e3554f2" xsi:nil="true"/>
    <SharedWithUsers xmlns="d5a6b885-04cb-4a06-9323-80b82e3554f2">
      <UserInfo>
        <DisplayName>Philipp Kappestein, NETZ Bangladesch</DisplayName>
        <AccountId>35</AccountId>
        <AccountType/>
      </UserInfo>
      <UserInfo>
        <DisplayName>Aminur Rahman, NETZ BO</DisplayName>
        <AccountId>962</AccountId>
        <AccountType/>
      </UserInfo>
    </SharedWithUsers>
  </documentManagement>
</p:properties>
</file>

<file path=customXml/itemProps1.xml><?xml version="1.0" encoding="utf-8"?>
<ds:datastoreItem xmlns:ds="http://schemas.openxmlformats.org/officeDocument/2006/customXml" ds:itemID="{8BAFFB73-724A-4895-A9D6-A54D1E36CCB0}">
  <ds:schemaRefs>
    <ds:schemaRef ds:uri="http://schemas.microsoft.com/sharepoint/v3/contenttype/forms"/>
  </ds:schemaRefs>
</ds:datastoreItem>
</file>

<file path=customXml/itemProps2.xml><?xml version="1.0" encoding="utf-8"?>
<ds:datastoreItem xmlns:ds="http://schemas.openxmlformats.org/officeDocument/2006/customXml" ds:itemID="{76FD60E7-B6F7-4863-AB48-5D148A394C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d5e8e5-a913-4129-baaf-f3cafaf37ac7"/>
    <ds:schemaRef ds:uri="d5a6b885-04cb-4a06-9323-80b82e3554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384E2D-1C23-46FF-B88B-C7402B049E4A}">
  <ds:schemaRefs>
    <ds:schemaRef ds:uri="http://schemas.microsoft.com/office/2006/metadata/properties"/>
    <ds:schemaRef ds:uri="http://schemas.microsoft.com/office/infopath/2007/PartnerControls"/>
    <ds:schemaRef ds:uri="e5d5e8e5-a913-4129-baaf-f3cafaf37ac7"/>
    <ds:schemaRef ds:uri="d5a6b885-04cb-4a06-9323-80b82e3554f2"/>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2056</Words>
  <Characters>11724</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13753</CharactersWithSpaces>
  <SharedDoc>false</SharedDoc>
  <HLinks>
    <vt:vector size="12" baseType="variant">
      <vt:variant>
        <vt:i4>1703979</vt:i4>
      </vt:variant>
      <vt:variant>
        <vt:i4>3</vt:i4>
      </vt:variant>
      <vt:variant>
        <vt:i4>0</vt:i4>
      </vt:variant>
      <vt:variant>
        <vt:i4>5</vt:i4>
      </vt:variant>
      <vt:variant>
        <vt:lpwstr>https://netzbangladesch.sharepoint.com/:w:/s/files/IQBJgOlH578sRo-Kqk_domuLAdw2xFg1WkpnQUowwcB624o?e=qFlsny</vt:lpwstr>
      </vt:variant>
      <vt:variant>
        <vt:lpwstr/>
      </vt:variant>
      <vt:variant>
        <vt:i4>8126547</vt:i4>
      </vt:variant>
      <vt:variant>
        <vt:i4>0</vt:i4>
      </vt:variant>
      <vt:variant>
        <vt:i4>0</vt:i4>
      </vt:variant>
      <vt:variant>
        <vt:i4>5</vt:i4>
      </vt:variant>
      <vt:variant>
        <vt:lpwstr>mailto:kappestein@bangladesch.org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Aminur Rahman, NETZ BO</dc:creator>
  <cp:keywords/>
  <dc:description/>
  <cp:lastModifiedBy>Mashiur Rahman, NETZ BO</cp:lastModifiedBy>
  <cp:revision>2</cp:revision>
  <cp:lastPrinted>2024-06-19T21:57:00Z</cp:lastPrinted>
  <dcterms:created xsi:type="dcterms:W3CDTF">2026-06-30T05:48:00Z</dcterms:created>
  <dcterms:modified xsi:type="dcterms:W3CDTF">2026-06-30T05:48:00Z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0x010100B045A399376F1B4FAA83F12BE6FE2F6C</vt:lpwstr>
  </property>
  <property fmtid="{D5CDD505-2E9C-101B-9397-08002B2CF9AE}" pid="3" name="MediaServiceImageTags">
    <vt:lpwstr/>
  </property>
</Properties>
</file>