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BFB" w:rsidRDefault="00395BFB">
      <w:bookmarkStart w:id="0" w:name="_GoBack"/>
      <w:bookmarkEnd w:id="0"/>
    </w:p>
    <w:tbl>
      <w:tblPr>
        <w:tblStyle w:val="af8"/>
        <w:tblW w:w="9226" w:type="dxa"/>
        <w:tblInd w:w="-100" w:type="dxa"/>
        <w:tblLayout w:type="fixed"/>
        <w:tblLook w:val="0400" w:firstRow="0" w:lastRow="0" w:firstColumn="0" w:lastColumn="0" w:noHBand="0" w:noVBand="1"/>
      </w:tblPr>
      <w:tblGrid>
        <w:gridCol w:w="9226"/>
      </w:tblGrid>
      <w:tr w:rsidR="00395BFB">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395BFB" w:rsidRDefault="00280084">
            <w:pPr>
              <w:pBdr>
                <w:top w:val="nil"/>
                <w:left w:val="nil"/>
                <w:bottom w:val="nil"/>
                <w:right w:val="nil"/>
                <w:between w:val="nil"/>
              </w:pBdr>
              <w:rPr>
                <w:rFonts w:ascii="Roboto" w:eastAsia="Roboto" w:hAnsi="Roboto" w:cs="Roboto"/>
                <w:b/>
                <w:bCs/>
                <w:sz w:val="36"/>
                <w:szCs w:val="36"/>
              </w:rPr>
            </w:pPr>
            <w:r>
              <w:rPr>
                <w:rFonts w:ascii="Roboto" w:eastAsia="Roboto" w:hAnsi="Roboto" w:cs="Roboto"/>
                <w:b/>
                <w:bCs/>
                <w:sz w:val="36"/>
                <w:szCs w:val="36"/>
              </w:rPr>
              <w:t>Terms of Reference for the Consultancy:</w:t>
            </w:r>
          </w:p>
          <w:p w:rsidR="00395BFB" w:rsidRDefault="00280084">
            <w:pPr>
              <w:pBdr>
                <w:top w:val="nil"/>
                <w:left w:val="nil"/>
                <w:bottom w:val="nil"/>
                <w:right w:val="nil"/>
                <w:between w:val="nil"/>
              </w:pBdr>
              <w:rPr>
                <w:rFonts w:ascii="Roboto" w:eastAsia="Roboto" w:hAnsi="Roboto" w:cs="Roboto"/>
                <w:sz w:val="32"/>
                <w:szCs w:val="32"/>
              </w:rPr>
            </w:pPr>
            <w:r>
              <w:rPr>
                <w:rFonts w:ascii="Roboto" w:eastAsia="Roboto" w:hAnsi="Roboto" w:cs="Roboto"/>
                <w:sz w:val="32"/>
                <w:szCs w:val="32"/>
              </w:rPr>
              <w:t xml:space="preserve">Integrated Intermediate Outcome and Thematic Learning Assessment for the TLTN Project – </w:t>
            </w:r>
            <w:proofErr w:type="spellStart"/>
            <w:r>
              <w:rPr>
                <w:rFonts w:ascii="Roboto" w:eastAsia="Roboto" w:hAnsi="Roboto" w:cs="Roboto"/>
                <w:sz w:val="32"/>
                <w:szCs w:val="32"/>
              </w:rPr>
              <w:t>iDE</w:t>
            </w:r>
            <w:proofErr w:type="spellEnd"/>
            <w:r>
              <w:rPr>
                <w:rFonts w:ascii="Roboto" w:eastAsia="Roboto" w:hAnsi="Roboto" w:cs="Roboto"/>
                <w:sz w:val="32"/>
                <w:szCs w:val="32"/>
              </w:rPr>
              <w:t xml:space="preserve"> Bangladesh</w:t>
            </w:r>
          </w:p>
        </w:tc>
      </w:tr>
    </w:tbl>
    <w:p w:rsidR="00395BFB" w:rsidRDefault="00280084">
      <w:pPr>
        <w:widowControl w:val="0"/>
        <w:tabs>
          <w:tab w:val="left" w:pos="450"/>
        </w:tabs>
        <w:spacing w:before="240" w:after="240" w:line="276" w:lineRule="auto"/>
        <w:jc w:val="both"/>
        <w:rPr>
          <w:b/>
          <w:bCs/>
          <w:color w:val="EA4D39"/>
          <w:sz w:val="20"/>
          <w:szCs w:val="20"/>
          <w:highlight w:val="white"/>
        </w:rPr>
      </w:pPr>
      <w:proofErr w:type="spellStart"/>
      <w:r>
        <w:rPr>
          <w:b/>
          <w:bCs/>
          <w:color w:val="EA4D39"/>
          <w:sz w:val="20"/>
          <w:szCs w:val="20"/>
          <w:highlight w:val="white"/>
        </w:rPr>
        <w:t>iDE</w:t>
      </w:r>
      <w:proofErr w:type="spellEnd"/>
      <w:r>
        <w:rPr>
          <w:b/>
          <w:bCs/>
          <w:color w:val="EA4D39"/>
          <w:sz w:val="20"/>
          <w:szCs w:val="20"/>
          <w:highlight w:val="white"/>
        </w:rPr>
        <w:t xml:space="preserve"> Bangladesh invites qualified consulting firms to submit technical and financial proposals in response to this TOR. The key dates are as follows:</w:t>
      </w:r>
    </w:p>
    <w:p w:rsidR="00395BFB" w:rsidRDefault="00280084">
      <w:pPr>
        <w:widowControl w:val="0"/>
        <w:tabs>
          <w:tab w:val="left" w:pos="450"/>
        </w:tabs>
        <w:spacing w:before="240" w:after="240" w:line="276" w:lineRule="auto"/>
        <w:jc w:val="both"/>
        <w:rPr>
          <w:b/>
          <w:bCs/>
          <w:i/>
          <w:iCs/>
          <w:color w:val="EA4D39"/>
          <w:sz w:val="20"/>
          <w:szCs w:val="20"/>
          <w:highlight w:val="white"/>
        </w:rPr>
      </w:pPr>
      <w:r>
        <w:rPr>
          <w:b/>
          <w:bCs/>
          <w:i/>
          <w:iCs/>
          <w:color w:val="EA4D39"/>
          <w:sz w:val="20"/>
          <w:szCs w:val="20"/>
          <w:highlight w:val="white"/>
        </w:rPr>
        <w:t>Note: Final contract signing under this consultancy will be subject to receipt of final donor approval.</w:t>
      </w:r>
    </w:p>
    <w:p w:rsidR="00395BFB" w:rsidRDefault="00280084">
      <w:pPr>
        <w:widowControl w:val="0"/>
        <w:tabs>
          <w:tab w:val="left" w:pos="450"/>
        </w:tabs>
        <w:spacing w:before="220" w:after="220" w:line="276" w:lineRule="auto"/>
        <w:jc w:val="both"/>
        <w:rPr>
          <w:b/>
          <w:bCs/>
          <w:color w:val="0000FF"/>
          <w:highlight w:val="white"/>
          <w:u w:val="single"/>
        </w:rPr>
      </w:pPr>
      <w:r>
        <w:rPr>
          <w:b/>
          <w:bCs/>
          <w:color w:val="0000FF"/>
          <w:highlight w:val="white"/>
          <w:u w:val="single"/>
        </w:rPr>
        <w:t>Tim</w:t>
      </w:r>
      <w:r>
        <w:rPr>
          <w:b/>
          <w:bCs/>
          <w:color w:val="0000FF"/>
          <w:highlight w:val="white"/>
          <w:u w:val="single"/>
        </w:rPr>
        <w:t>eline:</w:t>
      </w:r>
    </w:p>
    <w:tbl>
      <w:tblPr>
        <w:tblStyle w:val="af9"/>
        <w:tblW w:w="9855" w:type="dxa"/>
        <w:tblBorders>
          <w:top w:val="nil"/>
          <w:left w:val="nil"/>
          <w:bottom w:val="nil"/>
          <w:right w:val="nil"/>
          <w:insideH w:val="nil"/>
          <w:insideV w:val="nil"/>
        </w:tblBorders>
        <w:tblLayout w:type="fixed"/>
        <w:tblLook w:val="0600" w:firstRow="0" w:lastRow="0" w:firstColumn="0" w:lastColumn="0" w:noHBand="1" w:noVBand="1"/>
      </w:tblPr>
      <w:tblGrid>
        <w:gridCol w:w="7950"/>
        <w:gridCol w:w="1905"/>
      </w:tblGrid>
      <w:tr w:rsidR="00395BFB">
        <w:trPr>
          <w:trHeight w:val="486"/>
        </w:trPr>
        <w:tc>
          <w:tcPr>
            <w:tcW w:w="7950" w:type="dxa"/>
            <w:tcBorders>
              <w:top w:val="single" w:sz="8" w:space="0" w:color="808080"/>
              <w:left w:val="single" w:sz="8" w:space="0" w:color="808080"/>
              <w:bottom w:val="single" w:sz="8" w:space="0" w:color="808080"/>
              <w:right w:val="single" w:sz="8" w:space="0" w:color="808080"/>
            </w:tcBorders>
            <w:shd w:val="clear" w:color="auto" w:fill="B7B7B7"/>
            <w:tcMar>
              <w:top w:w="100" w:type="dxa"/>
              <w:left w:w="100" w:type="dxa"/>
              <w:bottom w:w="100" w:type="dxa"/>
              <w:right w:w="100" w:type="dxa"/>
            </w:tcMar>
          </w:tcPr>
          <w:p w:rsidR="00395BFB" w:rsidRDefault="00280084">
            <w:pPr>
              <w:widowControl w:val="0"/>
              <w:tabs>
                <w:tab w:val="left" w:pos="450"/>
              </w:tabs>
              <w:spacing w:before="240" w:after="240" w:line="276" w:lineRule="auto"/>
              <w:jc w:val="both"/>
              <w:rPr>
                <w:b/>
                <w:bCs/>
                <w:sz w:val="20"/>
                <w:szCs w:val="20"/>
              </w:rPr>
            </w:pPr>
            <w:r>
              <w:rPr>
                <w:b/>
                <w:bCs/>
                <w:sz w:val="20"/>
                <w:szCs w:val="20"/>
              </w:rPr>
              <w:t>Particulars</w:t>
            </w:r>
          </w:p>
        </w:tc>
        <w:tc>
          <w:tcPr>
            <w:tcW w:w="1905" w:type="dxa"/>
            <w:tcBorders>
              <w:top w:val="single" w:sz="8" w:space="0" w:color="808080"/>
              <w:left w:val="nil"/>
              <w:bottom w:val="single" w:sz="8" w:space="0" w:color="808080"/>
              <w:right w:val="single" w:sz="8" w:space="0" w:color="808080"/>
            </w:tcBorders>
            <w:shd w:val="clear" w:color="auto" w:fill="B7B7B7"/>
            <w:tcMar>
              <w:top w:w="100" w:type="dxa"/>
              <w:left w:w="100" w:type="dxa"/>
              <w:bottom w:w="100" w:type="dxa"/>
              <w:right w:w="100" w:type="dxa"/>
            </w:tcMar>
          </w:tcPr>
          <w:p w:rsidR="00395BFB" w:rsidRDefault="00280084">
            <w:pPr>
              <w:widowControl w:val="0"/>
              <w:tabs>
                <w:tab w:val="left" w:pos="450"/>
              </w:tabs>
              <w:spacing w:before="240" w:after="240" w:line="276" w:lineRule="auto"/>
              <w:jc w:val="both"/>
              <w:rPr>
                <w:b/>
                <w:bCs/>
                <w:sz w:val="20"/>
                <w:szCs w:val="20"/>
              </w:rPr>
            </w:pPr>
            <w:r>
              <w:rPr>
                <w:b/>
                <w:bCs/>
                <w:sz w:val="20"/>
                <w:szCs w:val="20"/>
              </w:rPr>
              <w:t>Date / time</w:t>
            </w:r>
          </w:p>
        </w:tc>
      </w:tr>
      <w:tr w:rsidR="00395BFB">
        <w:trPr>
          <w:trHeight w:val="570"/>
        </w:trPr>
        <w:tc>
          <w:tcPr>
            <w:tcW w:w="795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rsidR="00395BFB" w:rsidRDefault="00280084">
            <w:pPr>
              <w:tabs>
                <w:tab w:val="left" w:pos="450"/>
              </w:tabs>
              <w:rPr>
                <w:sz w:val="20"/>
                <w:szCs w:val="20"/>
              </w:rPr>
            </w:pPr>
            <w:r>
              <w:rPr>
                <w:sz w:val="20"/>
                <w:szCs w:val="20"/>
              </w:rPr>
              <w:t>TOR Publication date</w:t>
            </w:r>
          </w:p>
        </w:tc>
        <w:tc>
          <w:tcPr>
            <w:tcW w:w="1905" w:type="dxa"/>
            <w:tcBorders>
              <w:top w:val="nil"/>
              <w:left w:val="nil"/>
              <w:bottom w:val="single" w:sz="8" w:space="0" w:color="808080"/>
              <w:right w:val="single" w:sz="8" w:space="0" w:color="808080"/>
            </w:tcBorders>
            <w:tcMar>
              <w:top w:w="100" w:type="dxa"/>
              <w:left w:w="100" w:type="dxa"/>
              <w:bottom w:w="100" w:type="dxa"/>
              <w:right w:w="100" w:type="dxa"/>
            </w:tcMar>
          </w:tcPr>
          <w:p w:rsidR="00395BFB" w:rsidRDefault="00280084">
            <w:pPr>
              <w:tabs>
                <w:tab w:val="left" w:pos="450"/>
              </w:tabs>
              <w:rPr>
                <w:sz w:val="20"/>
                <w:szCs w:val="20"/>
              </w:rPr>
            </w:pPr>
            <w:r>
              <w:rPr>
                <w:sz w:val="20"/>
                <w:szCs w:val="20"/>
              </w:rPr>
              <w:t>April 16th 2026</w:t>
            </w:r>
          </w:p>
        </w:tc>
      </w:tr>
      <w:tr w:rsidR="00395BFB">
        <w:trPr>
          <w:trHeight w:val="570"/>
        </w:trPr>
        <w:tc>
          <w:tcPr>
            <w:tcW w:w="795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rsidR="00395BFB" w:rsidRDefault="00280084">
            <w:pPr>
              <w:tabs>
                <w:tab w:val="left" w:pos="450"/>
              </w:tabs>
              <w:rPr>
                <w:sz w:val="20"/>
                <w:szCs w:val="20"/>
              </w:rPr>
            </w:pPr>
            <w:r>
              <w:rPr>
                <w:b/>
                <w:bCs/>
                <w:sz w:val="20"/>
                <w:szCs w:val="20"/>
                <w:highlight w:val="white"/>
              </w:rPr>
              <w:t xml:space="preserve">Virtual Pre-bid </w:t>
            </w:r>
            <w:proofErr w:type="gramStart"/>
            <w:r>
              <w:rPr>
                <w:b/>
                <w:bCs/>
                <w:sz w:val="20"/>
                <w:szCs w:val="20"/>
                <w:highlight w:val="white"/>
              </w:rPr>
              <w:t>Meeting  on</w:t>
            </w:r>
            <w:proofErr w:type="gramEnd"/>
            <w:r>
              <w:rPr>
                <w:b/>
                <w:bCs/>
                <w:sz w:val="20"/>
                <w:szCs w:val="20"/>
                <w:highlight w:val="white"/>
              </w:rPr>
              <w:t xml:space="preserve"> </w:t>
            </w:r>
            <w:proofErr w:type="spellStart"/>
            <w:r>
              <w:rPr>
                <w:b/>
                <w:bCs/>
                <w:sz w:val="20"/>
                <w:szCs w:val="20"/>
                <w:highlight w:val="white"/>
              </w:rPr>
              <w:t>ToR</w:t>
            </w:r>
            <w:proofErr w:type="spellEnd"/>
            <w:r>
              <w:rPr>
                <w:b/>
                <w:bCs/>
                <w:sz w:val="20"/>
                <w:szCs w:val="20"/>
                <w:highlight w:val="white"/>
              </w:rPr>
              <w:t xml:space="preserve"> for assessment (To participate in this meeting interested firms are requested to send their interest through email by 20th April 2026 to </w:t>
            </w:r>
            <w:r>
              <w:rPr>
                <w:b/>
                <w:bCs/>
                <w:color w:val="0000FF"/>
                <w:sz w:val="20"/>
                <w:szCs w:val="20"/>
                <w:highlight w:val="white"/>
              </w:rPr>
              <w:t>bangladesh.procurement@ideglobal.org</w:t>
            </w:r>
            <w:r>
              <w:rPr>
                <w:b/>
                <w:bCs/>
                <w:sz w:val="20"/>
                <w:szCs w:val="20"/>
                <w:highlight w:val="white"/>
              </w:rPr>
              <w:t xml:space="preserve"> </w:t>
            </w:r>
            <w:r>
              <w:rPr>
                <w:sz w:val="20"/>
                <w:szCs w:val="20"/>
                <w:highlight w:val="white"/>
              </w:rPr>
              <w:t>Google link will be provided only to interested firms through the email address from which request has been submitted.</w:t>
            </w:r>
          </w:p>
        </w:tc>
        <w:tc>
          <w:tcPr>
            <w:tcW w:w="1905" w:type="dxa"/>
            <w:tcBorders>
              <w:top w:val="nil"/>
              <w:left w:val="nil"/>
              <w:bottom w:val="single" w:sz="8" w:space="0" w:color="808080"/>
              <w:right w:val="single" w:sz="8" w:space="0" w:color="808080"/>
            </w:tcBorders>
            <w:tcMar>
              <w:top w:w="100" w:type="dxa"/>
              <w:left w:w="100" w:type="dxa"/>
              <w:bottom w:w="100" w:type="dxa"/>
              <w:right w:w="100" w:type="dxa"/>
            </w:tcMar>
          </w:tcPr>
          <w:p w:rsidR="00395BFB" w:rsidRDefault="00280084">
            <w:pPr>
              <w:tabs>
                <w:tab w:val="left" w:pos="450"/>
              </w:tabs>
              <w:rPr>
                <w:sz w:val="20"/>
                <w:szCs w:val="20"/>
              </w:rPr>
            </w:pPr>
            <w:r>
              <w:rPr>
                <w:sz w:val="20"/>
                <w:szCs w:val="20"/>
              </w:rPr>
              <w:t>April 21st 2026</w:t>
            </w:r>
            <w:r>
              <w:rPr>
                <w:sz w:val="20"/>
                <w:szCs w:val="20"/>
              </w:rPr>
              <w:br/>
              <w:t>2:00 PM- 3:00 PM</w:t>
            </w:r>
          </w:p>
        </w:tc>
      </w:tr>
      <w:tr w:rsidR="00395BFB">
        <w:trPr>
          <w:trHeight w:val="1068"/>
        </w:trPr>
        <w:tc>
          <w:tcPr>
            <w:tcW w:w="7950" w:type="dxa"/>
            <w:tcBorders>
              <w:top w:val="nil"/>
              <w:left w:val="single" w:sz="8" w:space="0" w:color="808080"/>
              <w:bottom w:val="single" w:sz="8" w:space="0" w:color="808080"/>
              <w:right w:val="single" w:sz="8" w:space="0" w:color="808080"/>
            </w:tcBorders>
            <w:tcMar>
              <w:top w:w="100" w:type="dxa"/>
              <w:left w:w="100" w:type="dxa"/>
              <w:bottom w:w="100" w:type="dxa"/>
              <w:right w:w="100" w:type="dxa"/>
            </w:tcMar>
          </w:tcPr>
          <w:p w:rsidR="00395BFB" w:rsidRDefault="00280084">
            <w:pPr>
              <w:tabs>
                <w:tab w:val="left" w:pos="450"/>
              </w:tabs>
              <w:rPr>
                <w:sz w:val="20"/>
                <w:szCs w:val="20"/>
              </w:rPr>
            </w:pPr>
            <w:r>
              <w:rPr>
                <w:sz w:val="20"/>
                <w:szCs w:val="20"/>
              </w:rPr>
              <w:t xml:space="preserve">Deadline for submission of Final proposals (technical and financial, along with the firm's </w:t>
            </w:r>
            <w:proofErr w:type="gramStart"/>
            <w:r>
              <w:rPr>
                <w:sz w:val="20"/>
                <w:szCs w:val="20"/>
              </w:rPr>
              <w:t>profile)  by</w:t>
            </w:r>
            <w:proofErr w:type="gramEnd"/>
            <w:r>
              <w:rPr>
                <w:sz w:val="20"/>
                <w:szCs w:val="20"/>
              </w:rPr>
              <w:t xml:space="preserve"> interested qualified agencies to bangladesh.procurement@ideglobal.org</w:t>
            </w:r>
          </w:p>
        </w:tc>
        <w:tc>
          <w:tcPr>
            <w:tcW w:w="1905" w:type="dxa"/>
            <w:tcBorders>
              <w:top w:val="nil"/>
              <w:left w:val="nil"/>
              <w:bottom w:val="single" w:sz="8" w:space="0" w:color="808080"/>
              <w:right w:val="single" w:sz="8" w:space="0" w:color="808080"/>
            </w:tcBorders>
            <w:tcMar>
              <w:top w:w="100" w:type="dxa"/>
              <w:left w:w="100" w:type="dxa"/>
              <w:bottom w:w="100" w:type="dxa"/>
              <w:right w:w="100" w:type="dxa"/>
            </w:tcMar>
          </w:tcPr>
          <w:p w:rsidR="00395BFB" w:rsidRDefault="00280084">
            <w:pPr>
              <w:tabs>
                <w:tab w:val="left" w:pos="450"/>
              </w:tabs>
              <w:rPr>
                <w:sz w:val="20"/>
                <w:szCs w:val="20"/>
              </w:rPr>
            </w:pPr>
            <w:r>
              <w:rPr>
                <w:sz w:val="20"/>
                <w:szCs w:val="20"/>
              </w:rPr>
              <w:t>April 25th 2026</w:t>
            </w:r>
          </w:p>
        </w:tc>
      </w:tr>
    </w:tbl>
    <w:p w:rsidR="00395BFB" w:rsidRDefault="00395BFB">
      <w:pPr>
        <w:widowControl w:val="0"/>
        <w:tabs>
          <w:tab w:val="left" w:pos="450"/>
        </w:tabs>
        <w:spacing w:before="200" w:line="276" w:lineRule="auto"/>
        <w:jc w:val="both"/>
        <w:rPr>
          <w:b/>
          <w:bCs/>
          <w:color w:val="EA4D39"/>
          <w:sz w:val="20"/>
          <w:szCs w:val="20"/>
          <w:highlight w:val="white"/>
        </w:rPr>
      </w:pPr>
    </w:p>
    <w:p w:rsidR="00395BFB" w:rsidRDefault="00280084">
      <w:pPr>
        <w:widowControl w:val="0"/>
        <w:numPr>
          <w:ilvl w:val="0"/>
          <w:numId w:val="11"/>
        </w:numPr>
        <w:tabs>
          <w:tab w:val="left" w:pos="450"/>
        </w:tabs>
        <w:spacing w:before="200" w:line="276" w:lineRule="auto"/>
        <w:ind w:left="270" w:hanging="270"/>
        <w:jc w:val="both"/>
        <w:rPr>
          <w:b/>
          <w:bCs/>
          <w:color w:val="EA4D39"/>
          <w:sz w:val="20"/>
          <w:szCs w:val="20"/>
          <w:highlight w:val="white"/>
        </w:rPr>
      </w:pPr>
      <w:r>
        <w:rPr>
          <w:b/>
          <w:bCs/>
          <w:color w:val="EA4D39"/>
          <w:sz w:val="20"/>
          <w:szCs w:val="20"/>
          <w:highlight w:val="white"/>
        </w:rPr>
        <w:t xml:space="preserve">Organizational Background </w:t>
      </w:r>
    </w:p>
    <w:p w:rsidR="00395BFB" w:rsidRDefault="00280084">
      <w:pPr>
        <w:spacing w:before="240" w:after="240" w:line="276" w:lineRule="auto"/>
        <w:jc w:val="both"/>
        <w:rPr>
          <w:sz w:val="20"/>
          <w:szCs w:val="20"/>
        </w:rPr>
      </w:pPr>
      <w:r>
        <w:rPr>
          <w:sz w:val="20"/>
          <w:szCs w:val="20"/>
        </w:rPr>
        <w:t xml:space="preserve">The Transforming Lives Through Nutrition (TLTN) project is a multi-partner initiative aimed at improving maternal, newborn, and child nutrition among vulnerable populations in Bangladesh. Funded by the Humanitarian Services Division of The Church of Jesus </w:t>
      </w:r>
      <w:r>
        <w:rPr>
          <w:sz w:val="20"/>
          <w:szCs w:val="20"/>
        </w:rPr>
        <w:t xml:space="preserve">Christ of Latter-day Saints, the project is implemented by Helen Keller International, Vitamin Angels, and </w:t>
      </w:r>
      <w:proofErr w:type="spellStart"/>
      <w:r>
        <w:rPr>
          <w:sz w:val="20"/>
          <w:szCs w:val="20"/>
        </w:rPr>
        <w:t>iDE</w:t>
      </w:r>
      <w:proofErr w:type="spellEnd"/>
      <w:r>
        <w:rPr>
          <w:sz w:val="20"/>
          <w:szCs w:val="20"/>
        </w:rPr>
        <w:t>, combining nutrition-specific and nutrition-sensitive approaches.</w:t>
      </w:r>
    </w:p>
    <w:p w:rsidR="00395BFB" w:rsidRDefault="00280084">
      <w:pPr>
        <w:spacing w:before="240" w:after="240" w:line="276" w:lineRule="auto"/>
        <w:jc w:val="both"/>
        <w:rPr>
          <w:sz w:val="20"/>
          <w:szCs w:val="20"/>
        </w:rPr>
      </w:pPr>
      <w:r>
        <w:rPr>
          <w:sz w:val="20"/>
          <w:szCs w:val="20"/>
        </w:rPr>
        <w:t xml:space="preserve">Under the Bangladesh component, </w:t>
      </w:r>
      <w:proofErr w:type="spellStart"/>
      <w:r>
        <w:rPr>
          <w:sz w:val="20"/>
          <w:szCs w:val="20"/>
        </w:rPr>
        <w:t>iDE</w:t>
      </w:r>
      <w:proofErr w:type="spellEnd"/>
      <w:r>
        <w:rPr>
          <w:sz w:val="20"/>
          <w:szCs w:val="20"/>
        </w:rPr>
        <w:t xml:space="preserve"> leads market-based interventions focused on</w:t>
      </w:r>
      <w:r>
        <w:rPr>
          <w:sz w:val="20"/>
          <w:szCs w:val="20"/>
        </w:rPr>
        <w:t xml:space="preserve"> three outcome areas: </w:t>
      </w:r>
      <w:r>
        <w:rPr>
          <w:b/>
          <w:bCs/>
          <w:sz w:val="20"/>
          <w:szCs w:val="20"/>
        </w:rPr>
        <w:t>Outcome 6: increased access to nutritious diets</w:t>
      </w:r>
      <w:r>
        <w:rPr>
          <w:sz w:val="20"/>
          <w:szCs w:val="20"/>
        </w:rPr>
        <w:t xml:space="preserve">, </w:t>
      </w:r>
      <w:r>
        <w:rPr>
          <w:b/>
          <w:bCs/>
          <w:sz w:val="20"/>
          <w:szCs w:val="20"/>
        </w:rPr>
        <w:t>Outcome 7: strengthened local supply chains and enterprise capacity</w:t>
      </w:r>
      <w:r>
        <w:rPr>
          <w:sz w:val="20"/>
          <w:szCs w:val="20"/>
        </w:rPr>
        <w:t xml:space="preserve">, and </w:t>
      </w:r>
      <w:r>
        <w:rPr>
          <w:b/>
          <w:bCs/>
          <w:sz w:val="20"/>
          <w:szCs w:val="20"/>
        </w:rPr>
        <w:t>Outcome 8: improved household and community WASH access and practices</w:t>
      </w:r>
      <w:r>
        <w:rPr>
          <w:sz w:val="20"/>
          <w:szCs w:val="20"/>
        </w:rPr>
        <w:t xml:space="preserve">. </w:t>
      </w:r>
      <w:proofErr w:type="spellStart"/>
      <w:r>
        <w:rPr>
          <w:sz w:val="20"/>
          <w:szCs w:val="20"/>
        </w:rPr>
        <w:t>iDE’s</w:t>
      </w:r>
      <w:proofErr w:type="spellEnd"/>
      <w:r>
        <w:rPr>
          <w:sz w:val="20"/>
          <w:szCs w:val="20"/>
        </w:rPr>
        <w:t xml:space="preserve"> work includes support for climate-s</w:t>
      </w:r>
      <w:r>
        <w:rPr>
          <w:sz w:val="20"/>
          <w:szCs w:val="20"/>
        </w:rPr>
        <w:t xml:space="preserve">mart and nutrition-sensitive agriculture, entrepreneur and market actor development, and improved access to WASH products and services. This TOR relates specifically to the assessment of </w:t>
      </w:r>
      <w:proofErr w:type="spellStart"/>
      <w:r>
        <w:rPr>
          <w:sz w:val="20"/>
          <w:szCs w:val="20"/>
        </w:rPr>
        <w:t>iDE</w:t>
      </w:r>
      <w:proofErr w:type="spellEnd"/>
      <w:r>
        <w:rPr>
          <w:sz w:val="20"/>
          <w:szCs w:val="20"/>
        </w:rPr>
        <w:t xml:space="preserve"> Bangladesh’s intervention areas under Outcomes 6, 7, and 8.</w:t>
      </w:r>
    </w:p>
    <w:p w:rsidR="00395BFB" w:rsidRDefault="00280084">
      <w:pPr>
        <w:widowControl w:val="0"/>
        <w:numPr>
          <w:ilvl w:val="0"/>
          <w:numId w:val="11"/>
        </w:numPr>
        <w:tabs>
          <w:tab w:val="left" w:pos="450"/>
        </w:tabs>
        <w:spacing w:before="200" w:line="276" w:lineRule="auto"/>
        <w:ind w:left="270"/>
        <w:jc w:val="both"/>
        <w:rPr>
          <w:b/>
          <w:bCs/>
          <w:color w:val="FF5F4A"/>
          <w:sz w:val="20"/>
          <w:szCs w:val="20"/>
          <w:highlight w:val="white"/>
        </w:rPr>
      </w:pPr>
      <w:r>
        <w:rPr>
          <w:b/>
          <w:bCs/>
          <w:color w:val="EA4D39"/>
          <w:sz w:val="20"/>
          <w:szCs w:val="20"/>
          <w:highlight w:val="white"/>
        </w:rPr>
        <w:t>Proje</w:t>
      </w:r>
      <w:r>
        <w:rPr>
          <w:b/>
          <w:bCs/>
          <w:color w:val="EA4D39"/>
          <w:sz w:val="20"/>
          <w:szCs w:val="20"/>
          <w:highlight w:val="white"/>
        </w:rPr>
        <w:t>ct Background</w:t>
      </w:r>
    </w:p>
    <w:p w:rsidR="00395BFB" w:rsidRDefault="00280084">
      <w:pPr>
        <w:spacing w:before="240" w:after="240"/>
        <w:jc w:val="both"/>
        <w:rPr>
          <w:sz w:val="20"/>
          <w:szCs w:val="20"/>
          <w:highlight w:val="white"/>
        </w:rPr>
      </w:pPr>
      <w:r>
        <w:rPr>
          <w:sz w:val="20"/>
          <w:szCs w:val="20"/>
          <w:highlight w:val="white"/>
        </w:rPr>
        <w:lastRenderedPageBreak/>
        <w:t>Bangladesh continues to face significant challenges in achieving improved maternal, newborn, and child nutrition, particularly among vulnerable populations such as women of reproductive age and children under five. Although the country has ma</w:t>
      </w:r>
      <w:r>
        <w:rPr>
          <w:sz w:val="20"/>
          <w:szCs w:val="20"/>
          <w:highlight w:val="white"/>
        </w:rPr>
        <w:t>de notable progress in reducing malnutrition and improving health outcomes over recent decades, important gaps remain in diet quality, access to nutritious foods, household resilience, and access to improved water, sanitation, and hygiene (WASH) products a</w:t>
      </w:r>
      <w:r>
        <w:rPr>
          <w:sz w:val="20"/>
          <w:szCs w:val="20"/>
          <w:highlight w:val="white"/>
        </w:rPr>
        <w:t>nd services. These challenges are especially pronounced in underserved and climate-vulnerable areas, where poverty, market constraints, environmental shocks, and social barriers continue to affect nutrition and well-being.</w:t>
      </w:r>
    </w:p>
    <w:p w:rsidR="00395BFB" w:rsidRDefault="00280084">
      <w:pPr>
        <w:spacing w:before="240" w:after="240"/>
        <w:jc w:val="both"/>
        <w:rPr>
          <w:sz w:val="20"/>
          <w:szCs w:val="20"/>
          <w:highlight w:val="white"/>
        </w:rPr>
      </w:pPr>
      <w:r>
        <w:rPr>
          <w:sz w:val="20"/>
          <w:szCs w:val="20"/>
          <w:highlight w:val="white"/>
        </w:rPr>
        <w:t xml:space="preserve">The </w:t>
      </w:r>
      <w:r>
        <w:rPr>
          <w:b/>
          <w:bCs/>
          <w:sz w:val="20"/>
          <w:szCs w:val="20"/>
          <w:highlight w:val="white"/>
        </w:rPr>
        <w:t>Transforming Lives Through Nu</w:t>
      </w:r>
      <w:r>
        <w:rPr>
          <w:b/>
          <w:bCs/>
          <w:sz w:val="20"/>
          <w:szCs w:val="20"/>
          <w:highlight w:val="white"/>
        </w:rPr>
        <w:t>trition (TLTN)</w:t>
      </w:r>
      <w:r>
        <w:rPr>
          <w:sz w:val="20"/>
          <w:szCs w:val="20"/>
          <w:highlight w:val="white"/>
        </w:rPr>
        <w:t xml:space="preserve"> project in Bangladesh responds to these challenges through a combination of nutrition-specific and nutrition-sensitive interventions delivered by consortium partners. Within this broader initiative, </w:t>
      </w:r>
      <w:proofErr w:type="spellStart"/>
      <w:r>
        <w:rPr>
          <w:b/>
          <w:bCs/>
          <w:sz w:val="20"/>
          <w:szCs w:val="20"/>
          <w:highlight w:val="white"/>
        </w:rPr>
        <w:t>iDE</w:t>
      </w:r>
      <w:proofErr w:type="spellEnd"/>
      <w:r>
        <w:rPr>
          <w:b/>
          <w:bCs/>
          <w:sz w:val="20"/>
          <w:szCs w:val="20"/>
          <w:highlight w:val="white"/>
        </w:rPr>
        <w:t xml:space="preserve"> Bangladesh</w:t>
      </w:r>
      <w:r>
        <w:rPr>
          <w:sz w:val="20"/>
          <w:szCs w:val="20"/>
          <w:highlight w:val="white"/>
        </w:rPr>
        <w:t xml:space="preserve"> leads the project component</w:t>
      </w:r>
      <w:r>
        <w:rPr>
          <w:sz w:val="20"/>
          <w:szCs w:val="20"/>
          <w:highlight w:val="white"/>
        </w:rPr>
        <w:t>s focused on market-based and systems-oriented solutions to improve physical and economic access to nutritious diets and related household services. These interventions include support to smallholder farmers to adopt climate-smart and nutrition-sensitive a</w:t>
      </w:r>
      <w:r>
        <w:rPr>
          <w:sz w:val="20"/>
          <w:szCs w:val="20"/>
          <w:highlight w:val="white"/>
        </w:rPr>
        <w:t xml:space="preserve">griculture practices, promotion of nutrient-rich crop production, strengthening of local market actors and small enterprises, and improved access to WASH products and services through market-based delivery models. </w:t>
      </w:r>
    </w:p>
    <w:p w:rsidR="00395BFB" w:rsidRDefault="00280084">
      <w:pPr>
        <w:spacing w:before="240" w:after="240"/>
        <w:jc w:val="both"/>
        <w:rPr>
          <w:sz w:val="20"/>
          <w:szCs w:val="20"/>
          <w:highlight w:val="white"/>
        </w:rPr>
      </w:pPr>
      <w:r>
        <w:rPr>
          <w:sz w:val="20"/>
          <w:szCs w:val="20"/>
          <w:highlight w:val="white"/>
        </w:rPr>
        <w:t xml:space="preserve">Under </w:t>
      </w:r>
      <w:proofErr w:type="spellStart"/>
      <w:r>
        <w:rPr>
          <w:sz w:val="20"/>
          <w:szCs w:val="20"/>
          <w:highlight w:val="white"/>
        </w:rPr>
        <w:t>iDE’s</w:t>
      </w:r>
      <w:proofErr w:type="spellEnd"/>
      <w:r>
        <w:rPr>
          <w:sz w:val="20"/>
          <w:szCs w:val="20"/>
          <w:highlight w:val="white"/>
        </w:rPr>
        <w:t xml:space="preserve"> component, the project seeks </w:t>
      </w:r>
      <w:r>
        <w:rPr>
          <w:sz w:val="20"/>
          <w:szCs w:val="20"/>
          <w:highlight w:val="white"/>
        </w:rPr>
        <w:t xml:space="preserve">to strengthen the food systems and market pathways that influence household nutrition outcomes. This includes improving production and availability of nutrient-dense foods, enhancing the capacity and performance of entrepreneurs and service providers, and </w:t>
      </w:r>
      <w:r>
        <w:rPr>
          <w:sz w:val="20"/>
          <w:szCs w:val="20"/>
          <w:highlight w:val="white"/>
        </w:rPr>
        <w:t xml:space="preserve">supporting household access to improved WASH goods and practices that contribute to better health and nutrition outcomes. These interventions are implemented in line with the approved </w:t>
      </w:r>
      <w:proofErr w:type="spellStart"/>
      <w:r>
        <w:rPr>
          <w:sz w:val="20"/>
          <w:szCs w:val="20"/>
          <w:highlight w:val="white"/>
        </w:rPr>
        <w:t>iDE</w:t>
      </w:r>
      <w:proofErr w:type="spellEnd"/>
      <w:r>
        <w:rPr>
          <w:sz w:val="20"/>
          <w:szCs w:val="20"/>
          <w:highlight w:val="white"/>
        </w:rPr>
        <w:t xml:space="preserve"> Bangladesh TLTN </w:t>
      </w:r>
      <w:proofErr w:type="spellStart"/>
      <w:r>
        <w:rPr>
          <w:sz w:val="20"/>
          <w:szCs w:val="20"/>
          <w:highlight w:val="white"/>
        </w:rPr>
        <w:t>logframe</w:t>
      </w:r>
      <w:proofErr w:type="spellEnd"/>
      <w:r>
        <w:rPr>
          <w:sz w:val="20"/>
          <w:szCs w:val="20"/>
          <w:highlight w:val="white"/>
        </w:rPr>
        <w:t xml:space="preserve"> and indicator framework under </w:t>
      </w:r>
      <w:r>
        <w:rPr>
          <w:b/>
          <w:bCs/>
          <w:sz w:val="20"/>
          <w:szCs w:val="20"/>
          <w:highlight w:val="white"/>
        </w:rPr>
        <w:t>Outcomes 6, 7</w:t>
      </w:r>
      <w:r>
        <w:rPr>
          <w:b/>
          <w:bCs/>
          <w:sz w:val="20"/>
          <w:szCs w:val="20"/>
          <w:highlight w:val="white"/>
        </w:rPr>
        <w:t>, and 8</w:t>
      </w:r>
      <w:r>
        <w:rPr>
          <w:sz w:val="20"/>
          <w:szCs w:val="20"/>
          <w:highlight w:val="white"/>
        </w:rPr>
        <w:t>.</w:t>
      </w:r>
    </w:p>
    <w:p w:rsidR="00395BFB" w:rsidRDefault="00280084">
      <w:pPr>
        <w:spacing w:before="240" w:after="240"/>
        <w:jc w:val="both"/>
        <w:rPr>
          <w:sz w:val="20"/>
          <w:szCs w:val="20"/>
          <w:highlight w:val="white"/>
        </w:rPr>
      </w:pPr>
      <w:r>
        <w:rPr>
          <w:sz w:val="20"/>
          <w:szCs w:val="20"/>
          <w:highlight w:val="white"/>
        </w:rPr>
        <w:t xml:space="preserve">As implementation has advanced, </w:t>
      </w:r>
      <w:proofErr w:type="spellStart"/>
      <w:r>
        <w:rPr>
          <w:sz w:val="20"/>
          <w:szCs w:val="20"/>
          <w:highlight w:val="white"/>
        </w:rPr>
        <w:t>iDE</w:t>
      </w:r>
      <w:proofErr w:type="spellEnd"/>
      <w:r>
        <w:rPr>
          <w:sz w:val="20"/>
          <w:szCs w:val="20"/>
          <w:highlight w:val="white"/>
        </w:rPr>
        <w:t xml:space="preserve"> Bangladesh requires an evidence-based assessment to understand the extent to which early and intermediate outcome-level changes are emerging across these thematic areas, what factors are enabling or constraining</w:t>
      </w:r>
      <w:r>
        <w:rPr>
          <w:sz w:val="20"/>
          <w:szCs w:val="20"/>
          <w:highlight w:val="white"/>
        </w:rPr>
        <w:t xml:space="preserve"> progress, and what adjustments may be needed to strengthen implementation quality and future planning. This </w:t>
      </w:r>
      <w:r>
        <w:rPr>
          <w:b/>
          <w:bCs/>
          <w:sz w:val="20"/>
          <w:szCs w:val="20"/>
          <w:highlight w:val="white"/>
        </w:rPr>
        <w:t>Integrated Intermediate Outcome and Thematic Learning Assessment</w:t>
      </w:r>
      <w:r>
        <w:rPr>
          <w:sz w:val="20"/>
          <w:szCs w:val="20"/>
          <w:highlight w:val="white"/>
        </w:rPr>
        <w:t xml:space="preserve"> is therefore intended to assess progress and generate practical learning from </w:t>
      </w:r>
      <w:proofErr w:type="spellStart"/>
      <w:r>
        <w:rPr>
          <w:sz w:val="20"/>
          <w:szCs w:val="20"/>
          <w:highlight w:val="white"/>
        </w:rPr>
        <w:t>iDE</w:t>
      </w:r>
      <w:proofErr w:type="spellEnd"/>
      <w:r>
        <w:rPr>
          <w:sz w:val="20"/>
          <w:szCs w:val="20"/>
          <w:highlight w:val="white"/>
        </w:rPr>
        <w:t xml:space="preserve"> </w:t>
      </w:r>
      <w:r>
        <w:rPr>
          <w:sz w:val="20"/>
          <w:szCs w:val="20"/>
          <w:highlight w:val="white"/>
        </w:rPr>
        <w:t>Bangladesh’s interventions under Outcomes 6, 7, and 8, in order to support adaptive management and inform subsequent programming decisions.</w:t>
      </w:r>
    </w:p>
    <w:p w:rsidR="00395BFB" w:rsidRDefault="00280084">
      <w:pPr>
        <w:spacing w:before="240" w:after="240"/>
        <w:jc w:val="both"/>
        <w:rPr>
          <w:rFonts w:ascii="Calibri" w:eastAsia="Calibri" w:hAnsi="Calibri" w:cs="Calibri"/>
        </w:rPr>
      </w:pPr>
      <w:r>
        <w:rPr>
          <w:b/>
          <w:bCs/>
          <w:sz w:val="20"/>
          <w:szCs w:val="20"/>
          <w:highlight w:val="white"/>
        </w:rPr>
        <w:t>Figure 1.</w:t>
      </w:r>
      <w:r>
        <w:rPr>
          <w:sz w:val="20"/>
          <w:szCs w:val="20"/>
          <w:highlight w:val="white"/>
        </w:rPr>
        <w:t xml:space="preserve"> Overview of TLTN nutrition-specific and nutrition-sensitive intervention areas in Bangladesh.</w:t>
      </w:r>
    </w:p>
    <w:p w:rsidR="00395BFB" w:rsidRDefault="00280084">
      <w:pPr>
        <w:spacing w:after="160" w:line="278" w:lineRule="auto"/>
        <w:jc w:val="center"/>
        <w:rPr>
          <w:sz w:val="20"/>
          <w:szCs w:val="20"/>
        </w:rPr>
      </w:pPr>
      <w:r>
        <w:rPr>
          <w:rFonts w:ascii="Calibri" w:eastAsia="Calibri" w:hAnsi="Calibri" w:cs="Calibri"/>
          <w:noProof/>
        </w:rPr>
        <w:drawing>
          <wp:inline distT="114300" distB="114300" distL="114300" distR="114300">
            <wp:extent cx="5734050" cy="1232191"/>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53298"/>
                    <a:stretch>
                      <a:fillRect/>
                    </a:stretch>
                  </pic:blipFill>
                  <pic:spPr>
                    <a:xfrm>
                      <a:off x="0" y="0"/>
                      <a:ext cx="5734050" cy="1232191"/>
                    </a:xfrm>
                    <a:prstGeom prst="rect">
                      <a:avLst/>
                    </a:prstGeom>
                    <a:ln/>
                  </pic:spPr>
                </pic:pic>
              </a:graphicData>
            </a:graphic>
          </wp:inline>
        </w:drawing>
      </w:r>
    </w:p>
    <w:p w:rsidR="00395BFB" w:rsidRDefault="00395BFB">
      <w:pPr>
        <w:widowControl w:val="0"/>
        <w:spacing w:line="276" w:lineRule="auto"/>
        <w:ind w:left="1440"/>
        <w:jc w:val="both"/>
        <w:rPr>
          <w:sz w:val="20"/>
          <w:szCs w:val="20"/>
          <w:highlight w:val="white"/>
        </w:rPr>
      </w:pPr>
    </w:p>
    <w:p w:rsidR="00395BFB" w:rsidRDefault="00280084">
      <w:pPr>
        <w:widowControl w:val="0"/>
        <w:numPr>
          <w:ilvl w:val="0"/>
          <w:numId w:val="11"/>
        </w:numPr>
        <w:tabs>
          <w:tab w:val="left" w:pos="450"/>
        </w:tabs>
        <w:spacing w:before="200" w:after="120" w:line="276" w:lineRule="auto"/>
        <w:ind w:left="270" w:hanging="270"/>
        <w:jc w:val="both"/>
        <w:rPr>
          <w:b/>
          <w:bCs/>
          <w:color w:val="FF5F4A"/>
          <w:sz w:val="20"/>
          <w:szCs w:val="20"/>
        </w:rPr>
      </w:pPr>
      <w:r>
        <w:rPr>
          <w:b/>
          <w:bCs/>
          <w:color w:val="EA4D39"/>
          <w:sz w:val="20"/>
          <w:szCs w:val="20"/>
          <w:highlight w:val="white"/>
        </w:rPr>
        <w:t>Rationale and Justification</w:t>
      </w:r>
    </w:p>
    <w:p w:rsidR="00395BFB" w:rsidRDefault="00280084">
      <w:pPr>
        <w:widowControl w:val="0"/>
        <w:spacing w:before="240" w:after="240" w:line="276" w:lineRule="auto"/>
        <w:jc w:val="both"/>
        <w:rPr>
          <w:sz w:val="20"/>
          <w:szCs w:val="20"/>
          <w:highlight w:val="white"/>
        </w:rPr>
      </w:pPr>
      <w:r>
        <w:rPr>
          <w:sz w:val="20"/>
          <w:szCs w:val="20"/>
          <w:highlight w:val="white"/>
        </w:rPr>
        <w:t xml:space="preserve">As implementation of the Transforming Lives Through Nutrition (TLTN) project progresses, </w:t>
      </w:r>
      <w:proofErr w:type="spellStart"/>
      <w:r>
        <w:rPr>
          <w:sz w:val="20"/>
          <w:szCs w:val="20"/>
          <w:highlight w:val="white"/>
        </w:rPr>
        <w:t>iDE</w:t>
      </w:r>
      <w:proofErr w:type="spellEnd"/>
      <w:r>
        <w:rPr>
          <w:sz w:val="20"/>
          <w:szCs w:val="20"/>
          <w:highlight w:val="white"/>
        </w:rPr>
        <w:t xml:space="preserve"> Bangladesh requires timely, credible, and decision-oriented evidence on whether its interventions are contributing to meaningful change across selected outcome and</w:t>
      </w:r>
      <w:r>
        <w:rPr>
          <w:sz w:val="20"/>
          <w:szCs w:val="20"/>
          <w:highlight w:val="white"/>
        </w:rPr>
        <w:t xml:space="preserve"> intermediate outcome areas under Outcomes 6, 7, and 8. Routine monitoring data provide important information on activities delivered, outputs achieved, geographic reach, sales, referrals, attendance, and participation. However, routine </w:t>
      </w:r>
      <w:r>
        <w:rPr>
          <w:sz w:val="20"/>
          <w:szCs w:val="20"/>
          <w:highlight w:val="white"/>
        </w:rPr>
        <w:lastRenderedPageBreak/>
        <w:t>monitoring data alo</w:t>
      </w:r>
      <w:r>
        <w:rPr>
          <w:sz w:val="20"/>
          <w:szCs w:val="20"/>
          <w:highlight w:val="white"/>
        </w:rPr>
        <w:t xml:space="preserve">ne are not sufficient to determine whether intended changes are emerging among target households, women of reproductive age, caregivers, farmers, trained personnel, Nutrition Entrepreneurs, SMEs, and other market actors, nor are they sufficient to explain </w:t>
      </w:r>
      <w:r>
        <w:rPr>
          <w:sz w:val="20"/>
          <w:szCs w:val="20"/>
          <w:highlight w:val="white"/>
        </w:rPr>
        <w:t>why progress may be stronger in some pathways or locations than in others.</w:t>
      </w:r>
    </w:p>
    <w:p w:rsidR="00395BFB" w:rsidRDefault="00280084">
      <w:pPr>
        <w:widowControl w:val="0"/>
        <w:spacing w:before="240" w:after="240" w:line="276" w:lineRule="auto"/>
        <w:jc w:val="both"/>
        <w:rPr>
          <w:sz w:val="20"/>
          <w:szCs w:val="20"/>
          <w:highlight w:val="white"/>
        </w:rPr>
      </w:pPr>
      <w:r>
        <w:rPr>
          <w:sz w:val="20"/>
          <w:szCs w:val="20"/>
          <w:highlight w:val="white"/>
        </w:rPr>
        <w:t xml:space="preserve">This assignment is therefore needed to generate stronger evidence on selected nutrition, market systems, and WASH-related outcome pathways that are central to </w:t>
      </w:r>
      <w:proofErr w:type="spellStart"/>
      <w:r>
        <w:rPr>
          <w:sz w:val="20"/>
          <w:szCs w:val="20"/>
          <w:highlight w:val="white"/>
        </w:rPr>
        <w:t>iDE</w:t>
      </w:r>
      <w:proofErr w:type="spellEnd"/>
      <w:r>
        <w:rPr>
          <w:sz w:val="20"/>
          <w:szCs w:val="20"/>
          <w:highlight w:val="white"/>
        </w:rPr>
        <w:t xml:space="preserve"> Bangladesh’s imple</w:t>
      </w:r>
      <w:r>
        <w:rPr>
          <w:sz w:val="20"/>
          <w:szCs w:val="20"/>
          <w:highlight w:val="white"/>
        </w:rPr>
        <w:t>mentation learning and future planning. In particular, the assessment is expected to determine the extent of progress against selected indicators related to women’s dietary diversity and diet quality; child diet diversity and/or child feeding measures, whe</w:t>
      </w:r>
      <w:r>
        <w:rPr>
          <w:sz w:val="20"/>
          <w:szCs w:val="20"/>
          <w:highlight w:val="white"/>
        </w:rPr>
        <w:t>re these are included in the final approved protocol;  application of skills by trained personnel, market availability of nutrient-dense foods, household WASH access and service level, and hygiene knowledge and/or practice, using the approved baseline surv</w:t>
      </w:r>
      <w:r>
        <w:rPr>
          <w:sz w:val="20"/>
          <w:szCs w:val="20"/>
          <w:highlight w:val="white"/>
        </w:rPr>
        <w:t>ey as the principal reference point where comparison is methodologically valid. It is also expected to identify the major drivers, barriers, and contextual factors affecting adoption, behavior change, service use, market performance, and sustained uptake o</w:t>
      </w:r>
      <w:r>
        <w:rPr>
          <w:sz w:val="20"/>
          <w:szCs w:val="20"/>
          <w:highlight w:val="white"/>
        </w:rPr>
        <w:t>f promoted products and practices across the TLTN intervention areas.</w:t>
      </w:r>
    </w:p>
    <w:p w:rsidR="00395BFB" w:rsidRDefault="00280084">
      <w:pPr>
        <w:widowControl w:val="0"/>
        <w:spacing w:before="240" w:after="240" w:line="276" w:lineRule="auto"/>
        <w:jc w:val="both"/>
        <w:rPr>
          <w:sz w:val="20"/>
          <w:szCs w:val="20"/>
          <w:highlight w:val="white"/>
        </w:rPr>
      </w:pPr>
      <w:r>
        <w:rPr>
          <w:sz w:val="20"/>
          <w:szCs w:val="20"/>
          <w:highlight w:val="white"/>
        </w:rPr>
        <w:t xml:space="preserve">In addition to indicator-level assessment, </w:t>
      </w:r>
      <w:proofErr w:type="spellStart"/>
      <w:r>
        <w:rPr>
          <w:sz w:val="20"/>
          <w:szCs w:val="20"/>
          <w:highlight w:val="white"/>
        </w:rPr>
        <w:t>iDE</w:t>
      </w:r>
      <w:proofErr w:type="spellEnd"/>
      <w:r>
        <w:rPr>
          <w:sz w:val="20"/>
          <w:szCs w:val="20"/>
          <w:highlight w:val="white"/>
        </w:rPr>
        <w:t xml:space="preserve"> Bangladesh has identified several priority analytical areas that require deeper examination for programmatic decision-making. First, the as</w:t>
      </w:r>
      <w:r>
        <w:rPr>
          <w:sz w:val="20"/>
          <w:szCs w:val="20"/>
          <w:highlight w:val="white"/>
        </w:rPr>
        <w:t>sessment should generate evidence on the WASH–nutrition pathway by examining how improved access to, uptake of, and sustained use of market-based WASH products, services, and infrastructure may contribute to nutrition-relevant household conditions, includi</w:t>
      </w:r>
      <w:r>
        <w:rPr>
          <w:sz w:val="20"/>
          <w:szCs w:val="20"/>
          <w:highlight w:val="white"/>
        </w:rPr>
        <w:t>ng improved hygiene environments, reduced exposure to diarrheal risk, and better conditions for caregiving and food utilization. Second, the assessment should examine Nutrition Entrepreneur deployment effectiveness, including household reach, repeat engage</w:t>
      </w:r>
      <w:r>
        <w:rPr>
          <w:sz w:val="20"/>
          <w:szCs w:val="20"/>
          <w:highlight w:val="white"/>
        </w:rPr>
        <w:t>ment, referrals, service mix, product mix, density, business viability, and geographic efficiency. Third, the assessment should assess the affordability, equity, climate resilience, operational sustainability, and financial viability of selected market-bas</w:t>
      </w:r>
      <w:r>
        <w:rPr>
          <w:sz w:val="20"/>
          <w:szCs w:val="20"/>
          <w:highlight w:val="white"/>
        </w:rPr>
        <w:t>ed rural water service models, including the SMART piped-water model in Patuakhali. These thematic modules are important because they address strategic questions that routine monitoring cannot answer adequately, but which are critical for improving impleme</w:t>
      </w:r>
      <w:r>
        <w:rPr>
          <w:sz w:val="20"/>
          <w:szCs w:val="20"/>
          <w:highlight w:val="white"/>
        </w:rPr>
        <w:t>ntation quality and planning future scale-up.</w:t>
      </w:r>
    </w:p>
    <w:p w:rsidR="00395BFB" w:rsidRDefault="00280084">
      <w:pPr>
        <w:widowControl w:val="0"/>
        <w:spacing w:before="240" w:after="240" w:line="276" w:lineRule="auto"/>
        <w:jc w:val="both"/>
        <w:rPr>
          <w:sz w:val="20"/>
          <w:szCs w:val="20"/>
          <w:highlight w:val="white"/>
        </w:rPr>
      </w:pPr>
      <w:r>
        <w:rPr>
          <w:sz w:val="20"/>
          <w:szCs w:val="20"/>
          <w:highlight w:val="white"/>
        </w:rPr>
        <w:t>A further justification for this consultancy is the need to develop an evidence-informed Nutrition Entrepreneur graduation and tiering model. While the project has accumulated substantial operational and perfor</w:t>
      </w:r>
      <w:r>
        <w:rPr>
          <w:sz w:val="20"/>
          <w:szCs w:val="20"/>
          <w:highlight w:val="white"/>
        </w:rPr>
        <w:t xml:space="preserve">mance data on Nutrition Entrepreneurs, </w:t>
      </w:r>
      <w:proofErr w:type="spellStart"/>
      <w:r>
        <w:rPr>
          <w:sz w:val="20"/>
          <w:szCs w:val="20"/>
          <w:highlight w:val="white"/>
        </w:rPr>
        <w:t>iDE</w:t>
      </w:r>
      <w:proofErr w:type="spellEnd"/>
      <w:r>
        <w:rPr>
          <w:sz w:val="20"/>
          <w:szCs w:val="20"/>
          <w:highlight w:val="white"/>
        </w:rPr>
        <w:t xml:space="preserve"> Bangladesh now requires a more structured analytical framework to distinguish different levels of NE maturity, capability, support need, and sustainability. A practical tiering model will help the program refine c</w:t>
      </w:r>
      <w:r>
        <w:rPr>
          <w:sz w:val="20"/>
          <w:szCs w:val="20"/>
          <w:highlight w:val="white"/>
        </w:rPr>
        <w:t>oaching, targeting, monitoring, support intensity, and long-term market systems strategy.</w:t>
      </w:r>
    </w:p>
    <w:p w:rsidR="00395BFB" w:rsidRDefault="00280084">
      <w:pPr>
        <w:widowControl w:val="0"/>
        <w:spacing w:before="240" w:after="240" w:line="276" w:lineRule="auto"/>
        <w:jc w:val="both"/>
        <w:rPr>
          <w:sz w:val="20"/>
          <w:szCs w:val="20"/>
          <w:highlight w:val="white"/>
        </w:rPr>
      </w:pPr>
      <w:r>
        <w:rPr>
          <w:sz w:val="20"/>
          <w:szCs w:val="20"/>
          <w:highlight w:val="white"/>
        </w:rPr>
        <w:t>Accordingly, this consultancy is intended to provide an integrated intermediate outcome and thematic learning assessment that is methodologically credible, operationa</w:t>
      </w:r>
      <w:r>
        <w:rPr>
          <w:sz w:val="20"/>
          <w:szCs w:val="20"/>
          <w:highlight w:val="white"/>
        </w:rPr>
        <w:t xml:space="preserve">lly practical, and directly useful for adaptive management. It is not intended to serve as a baseline, </w:t>
      </w:r>
      <w:proofErr w:type="spellStart"/>
      <w:r>
        <w:rPr>
          <w:sz w:val="20"/>
          <w:szCs w:val="20"/>
          <w:highlight w:val="white"/>
        </w:rPr>
        <w:t>endline</w:t>
      </w:r>
      <w:proofErr w:type="spellEnd"/>
      <w:r>
        <w:rPr>
          <w:sz w:val="20"/>
          <w:szCs w:val="20"/>
          <w:highlight w:val="white"/>
        </w:rPr>
        <w:t>, or full causal impact evaluation. Rather, it is intended to generate bounded but actionable evidence on what change is emerging, for whom, where</w:t>
      </w:r>
      <w:r>
        <w:rPr>
          <w:sz w:val="20"/>
          <w:szCs w:val="20"/>
          <w:highlight w:val="white"/>
        </w:rPr>
        <w:t xml:space="preserve">, through which pathways, and under what enabling or constraining conditions, so that </w:t>
      </w:r>
      <w:proofErr w:type="spellStart"/>
      <w:r>
        <w:rPr>
          <w:sz w:val="20"/>
          <w:szCs w:val="20"/>
          <w:highlight w:val="white"/>
        </w:rPr>
        <w:t>iDE</w:t>
      </w:r>
      <w:proofErr w:type="spellEnd"/>
      <w:r>
        <w:rPr>
          <w:sz w:val="20"/>
          <w:szCs w:val="20"/>
          <w:highlight w:val="white"/>
        </w:rPr>
        <w:t xml:space="preserve"> Bangladesh can strengthen implementation and inform subsequent programming decisions. </w:t>
      </w:r>
    </w:p>
    <w:p w:rsidR="00395BFB" w:rsidRDefault="00280084">
      <w:pPr>
        <w:widowControl w:val="0"/>
        <w:numPr>
          <w:ilvl w:val="0"/>
          <w:numId w:val="11"/>
        </w:numPr>
        <w:pBdr>
          <w:top w:val="nil"/>
          <w:left w:val="nil"/>
          <w:bottom w:val="nil"/>
          <w:right w:val="nil"/>
          <w:between w:val="nil"/>
        </w:pBdr>
        <w:tabs>
          <w:tab w:val="left" w:pos="450"/>
        </w:tabs>
        <w:spacing w:before="200" w:line="276" w:lineRule="auto"/>
        <w:ind w:left="270" w:hanging="270"/>
        <w:jc w:val="both"/>
        <w:rPr>
          <w:b/>
          <w:bCs/>
          <w:color w:val="FF5F4A"/>
          <w:sz w:val="20"/>
          <w:szCs w:val="20"/>
        </w:rPr>
      </w:pPr>
      <w:r>
        <w:rPr>
          <w:b/>
          <w:bCs/>
          <w:color w:val="EA4D39"/>
          <w:sz w:val="20"/>
          <w:szCs w:val="20"/>
          <w:highlight w:val="white"/>
        </w:rPr>
        <w:t>Purpose of the Assignment</w:t>
      </w:r>
    </w:p>
    <w:p w:rsidR="00395BFB" w:rsidRDefault="00280084">
      <w:pPr>
        <w:spacing w:before="240" w:after="240" w:line="276" w:lineRule="auto"/>
        <w:rPr>
          <w:sz w:val="20"/>
          <w:szCs w:val="20"/>
        </w:rPr>
      </w:pPr>
      <w:r>
        <w:rPr>
          <w:sz w:val="20"/>
          <w:szCs w:val="20"/>
        </w:rPr>
        <w:lastRenderedPageBreak/>
        <w:t>The purpose of this consultancy is to conduct an inte</w:t>
      </w:r>
      <w:r>
        <w:rPr>
          <w:sz w:val="20"/>
          <w:szCs w:val="20"/>
        </w:rPr>
        <w:t xml:space="preserve">grated intermediate outcome and thematic learning assessment for </w:t>
      </w:r>
      <w:proofErr w:type="spellStart"/>
      <w:r>
        <w:rPr>
          <w:sz w:val="20"/>
          <w:szCs w:val="20"/>
        </w:rPr>
        <w:t>iDE</w:t>
      </w:r>
      <w:proofErr w:type="spellEnd"/>
      <w:r>
        <w:rPr>
          <w:sz w:val="20"/>
          <w:szCs w:val="20"/>
        </w:rPr>
        <w:t xml:space="preserve"> Bangladesh’s component of the TLTN project to assess progress against selected outcome and intermediate outcome indicators under Outcomes 6, 7, and 8, generate evidence on priority themat</w:t>
      </w:r>
      <w:r>
        <w:rPr>
          <w:sz w:val="20"/>
          <w:szCs w:val="20"/>
        </w:rPr>
        <w:t>ic areas, and develop a practical Nutrition Entrepreneur graduation and tiering model to inform implementation improvement and future planning.</w:t>
      </w:r>
    </w:p>
    <w:p w:rsidR="00395BFB" w:rsidRDefault="00280084">
      <w:pPr>
        <w:widowControl w:val="0"/>
        <w:numPr>
          <w:ilvl w:val="0"/>
          <w:numId w:val="13"/>
        </w:numPr>
        <w:tabs>
          <w:tab w:val="left" w:pos="450"/>
        </w:tabs>
        <w:spacing w:before="200" w:line="276" w:lineRule="auto"/>
        <w:jc w:val="both"/>
        <w:rPr>
          <w:b/>
          <w:bCs/>
          <w:color w:val="FF5F4A"/>
          <w:sz w:val="20"/>
          <w:szCs w:val="20"/>
        </w:rPr>
      </w:pPr>
      <w:r>
        <w:rPr>
          <w:b/>
          <w:bCs/>
          <w:color w:val="EA4D39"/>
          <w:sz w:val="20"/>
          <w:szCs w:val="20"/>
          <w:highlight w:val="white"/>
        </w:rPr>
        <w:t>Specific Objectives</w:t>
      </w:r>
    </w:p>
    <w:p w:rsidR="00395BFB" w:rsidRDefault="00280084">
      <w:pPr>
        <w:spacing w:before="240" w:after="240" w:line="276" w:lineRule="auto"/>
        <w:rPr>
          <w:sz w:val="20"/>
          <w:szCs w:val="20"/>
        </w:rPr>
      </w:pPr>
      <w:r>
        <w:rPr>
          <w:sz w:val="20"/>
          <w:szCs w:val="20"/>
        </w:rPr>
        <w:t>The consultancy will pursue the following specific objectives:</w:t>
      </w:r>
    </w:p>
    <w:p w:rsidR="00395BFB" w:rsidRDefault="00280084">
      <w:pPr>
        <w:pStyle w:val="Heading3"/>
        <w:keepNext w:val="0"/>
        <w:keepLines w:val="0"/>
        <w:spacing w:line="276" w:lineRule="auto"/>
        <w:rPr>
          <w:sz w:val="24"/>
          <w:szCs w:val="24"/>
        </w:rPr>
      </w:pPr>
      <w:bookmarkStart w:id="1" w:name="_heading=h.t2kinhcvsytf" w:colFirst="0" w:colLast="0"/>
      <w:bookmarkEnd w:id="1"/>
      <w:r>
        <w:rPr>
          <w:sz w:val="24"/>
          <w:szCs w:val="24"/>
        </w:rPr>
        <w:t>Objective 1. Outcome and Inte</w:t>
      </w:r>
      <w:r>
        <w:rPr>
          <w:sz w:val="24"/>
          <w:szCs w:val="24"/>
        </w:rPr>
        <w:t>rmediate Outcome Assessment</w:t>
      </w:r>
    </w:p>
    <w:p w:rsidR="00395BFB" w:rsidRDefault="00280084">
      <w:pPr>
        <w:spacing w:before="240" w:after="240" w:line="276" w:lineRule="auto"/>
        <w:rPr>
          <w:sz w:val="20"/>
          <w:szCs w:val="20"/>
        </w:rPr>
      </w:pPr>
      <w:r>
        <w:rPr>
          <w:sz w:val="20"/>
          <w:szCs w:val="20"/>
        </w:rPr>
        <w:t xml:space="preserve">To assess progress against selected outcome and intermediate outcome indicators under Outcomes 6, 7, and 8 of </w:t>
      </w:r>
      <w:proofErr w:type="spellStart"/>
      <w:r>
        <w:rPr>
          <w:sz w:val="20"/>
          <w:szCs w:val="20"/>
        </w:rPr>
        <w:t>iDE</w:t>
      </w:r>
      <w:proofErr w:type="spellEnd"/>
      <w:r>
        <w:rPr>
          <w:sz w:val="20"/>
          <w:szCs w:val="20"/>
        </w:rPr>
        <w:t xml:space="preserve"> Bangladesh’s TLTN component, in alignment with the approved baseline survey, approved </w:t>
      </w:r>
      <w:proofErr w:type="spellStart"/>
      <w:r>
        <w:rPr>
          <w:sz w:val="20"/>
          <w:szCs w:val="20"/>
        </w:rPr>
        <w:t>logframe</w:t>
      </w:r>
      <w:proofErr w:type="spellEnd"/>
      <w:r>
        <w:rPr>
          <w:sz w:val="20"/>
          <w:szCs w:val="20"/>
        </w:rPr>
        <w:t>, and approved Perfo</w:t>
      </w:r>
      <w:r>
        <w:rPr>
          <w:sz w:val="20"/>
          <w:szCs w:val="20"/>
        </w:rPr>
        <w:t>rmance Indicator Tracking Table (PITT), using appropriate standard tools, validated question modules, and clearly defined measurement protocols for the indicators in scope. This objective will include explicit focus on women’s dietary diversity and diet qu</w:t>
      </w:r>
      <w:r>
        <w:rPr>
          <w:sz w:val="20"/>
          <w:szCs w:val="20"/>
        </w:rPr>
        <w:t>ality using MDD-W/DQQ; child diet diversity and/or child feeding measures using IYCF-related modules, where included in the final approved protocol;  application of skills by trained personnel; market availability of nutrient-dense foods; household WASH ac</w:t>
      </w:r>
      <w:r>
        <w:rPr>
          <w:sz w:val="20"/>
          <w:szCs w:val="20"/>
        </w:rPr>
        <w:t>cess and service level using JMP-aligned measures; hygiene knowledge and/or practice, including caregiver hygiene behavior measures as finalized in alignment with the approved Bangladesh framework; and other approved selected indicators under Outcomes 6, 7</w:t>
      </w:r>
      <w:r>
        <w:rPr>
          <w:sz w:val="20"/>
          <w:szCs w:val="20"/>
        </w:rPr>
        <w:t>, and 8, including but not limited to ID 221, ID 222, and ID 233.</w:t>
      </w:r>
    </w:p>
    <w:p w:rsidR="00395BFB" w:rsidRDefault="00280084">
      <w:pPr>
        <w:pStyle w:val="Heading3"/>
        <w:keepNext w:val="0"/>
        <w:keepLines w:val="0"/>
        <w:spacing w:line="276" w:lineRule="auto"/>
        <w:rPr>
          <w:sz w:val="24"/>
          <w:szCs w:val="24"/>
        </w:rPr>
      </w:pPr>
      <w:bookmarkStart w:id="2" w:name="_heading=h.8ggnqejdrfkk" w:colFirst="0" w:colLast="0"/>
      <w:bookmarkEnd w:id="2"/>
      <w:r>
        <w:rPr>
          <w:sz w:val="24"/>
          <w:szCs w:val="24"/>
        </w:rPr>
        <w:t>Objective 2. Thematic Evidence Generation across Priority Analytical Modules</w:t>
      </w:r>
    </w:p>
    <w:p w:rsidR="00395BFB" w:rsidRDefault="00280084">
      <w:pPr>
        <w:spacing w:before="240" w:after="240" w:line="276" w:lineRule="auto"/>
        <w:rPr>
          <w:sz w:val="20"/>
          <w:szCs w:val="20"/>
        </w:rPr>
      </w:pPr>
      <w:r>
        <w:rPr>
          <w:sz w:val="20"/>
          <w:szCs w:val="20"/>
        </w:rPr>
        <w:t>To generate evidence across the priority analytical modules through a variable-based analytical framework that ex</w:t>
      </w:r>
      <w:r>
        <w:rPr>
          <w:sz w:val="20"/>
          <w:szCs w:val="20"/>
        </w:rPr>
        <w:t>amines the contribution of market-based WASH services to nutrition-relevant household conditions and selected nutrition-related outcomes; the effectiveness, density, saturation, and scalability of Nutrition Entrepreneur deployment models; and the affordabi</w:t>
      </w:r>
      <w:r>
        <w:rPr>
          <w:sz w:val="20"/>
          <w:szCs w:val="20"/>
        </w:rPr>
        <w:t>lity, equity, climate resilience, and financial viability of selected market-based rural water service models, including the SMART piped-water model in Patuakhali.</w:t>
      </w:r>
    </w:p>
    <w:p w:rsidR="00395BFB" w:rsidRDefault="00280084">
      <w:pPr>
        <w:pStyle w:val="Heading3"/>
        <w:keepNext w:val="0"/>
        <w:keepLines w:val="0"/>
        <w:spacing w:line="276" w:lineRule="auto"/>
        <w:rPr>
          <w:sz w:val="24"/>
          <w:szCs w:val="24"/>
        </w:rPr>
      </w:pPr>
      <w:bookmarkStart w:id="3" w:name="_heading=h.flghj2ivfimd" w:colFirst="0" w:colLast="0"/>
      <w:bookmarkEnd w:id="3"/>
      <w:r>
        <w:rPr>
          <w:sz w:val="24"/>
          <w:szCs w:val="24"/>
        </w:rPr>
        <w:t>Objective 3. Nutrition Entrepreneur Graduation and Tiering Model Development</w:t>
      </w:r>
    </w:p>
    <w:p w:rsidR="00395BFB" w:rsidRDefault="00280084">
      <w:pPr>
        <w:spacing w:before="240" w:after="240" w:line="276" w:lineRule="auto"/>
        <w:rPr>
          <w:sz w:val="20"/>
          <w:szCs w:val="20"/>
        </w:rPr>
      </w:pPr>
      <w:r>
        <w:rPr>
          <w:sz w:val="20"/>
          <w:szCs w:val="20"/>
        </w:rPr>
        <w:t>To develop an e</w:t>
      </w:r>
      <w:r>
        <w:rPr>
          <w:sz w:val="20"/>
          <w:szCs w:val="20"/>
        </w:rPr>
        <w:t>vidence-informed Nutrition Entrepreneur graduation and tiering model by reviewing existing Nutrition Entrepreneur monitoring and performance data, identifying key data gaps, and undertaking additional primary data collection among a purposively selected sa</w:t>
      </w:r>
      <w:r>
        <w:rPr>
          <w:sz w:val="20"/>
          <w:szCs w:val="20"/>
        </w:rPr>
        <w:t>mple representing 50% of active Nutrition Entrepreneurs (NEs), based on the validated active NE roster available at inception, to assess business maturity, competency, market linkage, operational intensity, support requirements, and sustainability.</w:t>
      </w:r>
    </w:p>
    <w:p w:rsidR="00395BFB" w:rsidRDefault="00280084">
      <w:pPr>
        <w:widowControl w:val="0"/>
        <w:numPr>
          <w:ilvl w:val="0"/>
          <w:numId w:val="13"/>
        </w:numPr>
        <w:tabs>
          <w:tab w:val="left" w:pos="450"/>
        </w:tabs>
        <w:spacing w:before="200" w:line="276" w:lineRule="auto"/>
        <w:jc w:val="both"/>
        <w:rPr>
          <w:b/>
          <w:bCs/>
          <w:color w:val="FF5F4A"/>
          <w:sz w:val="20"/>
          <w:szCs w:val="20"/>
        </w:rPr>
      </w:pPr>
      <w:r>
        <w:rPr>
          <w:b/>
          <w:bCs/>
          <w:color w:val="EA4D39"/>
          <w:sz w:val="20"/>
          <w:szCs w:val="20"/>
          <w:highlight w:val="white"/>
        </w:rPr>
        <w:t>Scope of the Assignment</w:t>
      </w:r>
    </w:p>
    <w:p w:rsidR="00395BFB" w:rsidRDefault="00280084">
      <w:pPr>
        <w:spacing w:before="240" w:after="240" w:line="276" w:lineRule="auto"/>
        <w:rPr>
          <w:b/>
          <w:bCs/>
          <w:sz w:val="20"/>
          <w:szCs w:val="20"/>
        </w:rPr>
      </w:pPr>
      <w:r>
        <w:rPr>
          <w:sz w:val="20"/>
          <w:szCs w:val="20"/>
        </w:rPr>
        <w:t xml:space="preserve">The consultancy will cover </w:t>
      </w:r>
      <w:proofErr w:type="spellStart"/>
      <w:r>
        <w:rPr>
          <w:sz w:val="20"/>
          <w:szCs w:val="20"/>
        </w:rPr>
        <w:t>iDE</w:t>
      </w:r>
      <w:proofErr w:type="spellEnd"/>
      <w:r>
        <w:rPr>
          <w:sz w:val="20"/>
          <w:szCs w:val="20"/>
        </w:rPr>
        <w:t xml:space="preserve"> Bangladesh’s component of the TLTN project and will focus on selected outcome and intermediate outcome areas under Outcomes 6, 7, and 8, as defined in the approved baseline survey, approved </w:t>
      </w:r>
      <w:proofErr w:type="spellStart"/>
      <w:r>
        <w:rPr>
          <w:sz w:val="20"/>
          <w:szCs w:val="20"/>
        </w:rPr>
        <w:t>logframe</w:t>
      </w:r>
      <w:proofErr w:type="spellEnd"/>
      <w:r>
        <w:rPr>
          <w:sz w:val="20"/>
          <w:szCs w:val="20"/>
        </w:rPr>
        <w:t>, a</w:t>
      </w:r>
      <w:r>
        <w:rPr>
          <w:sz w:val="20"/>
          <w:szCs w:val="20"/>
        </w:rPr>
        <w:t xml:space="preserve">nd approved Performance Indicator Tracking Table </w:t>
      </w:r>
      <w:r>
        <w:rPr>
          <w:sz w:val="20"/>
          <w:szCs w:val="20"/>
        </w:rPr>
        <w:lastRenderedPageBreak/>
        <w:t xml:space="preserve">(PITT). The assignment is intended to provide an integrated assessment of progress against selected indicators together with focused thematic learning on priority analytical modules and the development of a </w:t>
      </w:r>
      <w:r>
        <w:rPr>
          <w:sz w:val="20"/>
          <w:szCs w:val="20"/>
        </w:rPr>
        <w:t xml:space="preserve">practical Nutrition Entrepreneur graduation and tiering model. The study will cover </w:t>
      </w:r>
      <w:proofErr w:type="spellStart"/>
      <w:r>
        <w:rPr>
          <w:sz w:val="20"/>
          <w:szCs w:val="20"/>
        </w:rPr>
        <w:t>iDE</w:t>
      </w:r>
      <w:proofErr w:type="spellEnd"/>
      <w:r>
        <w:rPr>
          <w:sz w:val="20"/>
          <w:szCs w:val="20"/>
        </w:rPr>
        <w:t xml:space="preserve"> Bangladesh’s TLTN operational geography across the 8 project districts. The consultant shall propose an appropriate primary data collection design within this geography</w:t>
      </w:r>
      <w:r>
        <w:rPr>
          <w:sz w:val="20"/>
          <w:szCs w:val="20"/>
        </w:rPr>
        <w:t xml:space="preserve">, which need not include direct data collection in all 24 </w:t>
      </w:r>
      <w:proofErr w:type="spellStart"/>
      <w:r>
        <w:rPr>
          <w:sz w:val="20"/>
          <w:szCs w:val="20"/>
        </w:rPr>
        <w:t>upazilas</w:t>
      </w:r>
      <w:proofErr w:type="spellEnd"/>
      <w:r>
        <w:rPr>
          <w:sz w:val="20"/>
          <w:szCs w:val="20"/>
        </w:rPr>
        <w:t>, provided the design is technically justified and clearly explains coverage, representativeness, and inference limits. The SMART piped-water thematic module shall remain focused specificall</w:t>
      </w:r>
      <w:r>
        <w:rPr>
          <w:sz w:val="20"/>
          <w:szCs w:val="20"/>
        </w:rPr>
        <w:t>y on Patuakhali.</w:t>
      </w:r>
    </w:p>
    <w:p w:rsidR="00395BFB" w:rsidRDefault="00280084">
      <w:pPr>
        <w:spacing w:before="240" w:after="240" w:line="276" w:lineRule="auto"/>
        <w:rPr>
          <w:sz w:val="20"/>
          <w:szCs w:val="20"/>
        </w:rPr>
      </w:pPr>
      <w:r>
        <w:rPr>
          <w:sz w:val="20"/>
          <w:szCs w:val="20"/>
        </w:rPr>
        <w:t>The scope of the assignment will include, but not necessarily be limited to, the following:</w:t>
      </w:r>
    </w:p>
    <w:p w:rsidR="00395BFB" w:rsidRDefault="00280084">
      <w:pPr>
        <w:pStyle w:val="Heading3"/>
        <w:keepNext w:val="0"/>
        <w:keepLines w:val="0"/>
        <w:spacing w:line="276" w:lineRule="auto"/>
        <w:rPr>
          <w:sz w:val="24"/>
          <w:szCs w:val="24"/>
        </w:rPr>
      </w:pPr>
      <w:bookmarkStart w:id="4" w:name="_heading=h.t9phth6kgisd" w:colFirst="0" w:colLast="0"/>
      <w:bookmarkEnd w:id="4"/>
      <w:r>
        <w:rPr>
          <w:sz w:val="24"/>
          <w:szCs w:val="24"/>
        </w:rPr>
        <w:t>1. Scope under Objective 1: Outcome and Intermediate Outcome Assessment</w:t>
      </w:r>
    </w:p>
    <w:p w:rsidR="00395BFB" w:rsidRDefault="00280084">
      <w:pPr>
        <w:spacing w:before="240" w:after="240" w:line="276" w:lineRule="auto"/>
        <w:rPr>
          <w:sz w:val="20"/>
          <w:szCs w:val="20"/>
        </w:rPr>
      </w:pPr>
      <w:r>
        <w:rPr>
          <w:b/>
          <w:bCs/>
          <w:sz w:val="20"/>
          <w:szCs w:val="20"/>
        </w:rPr>
        <w:t>1.1</w:t>
      </w:r>
      <w:r>
        <w:rPr>
          <w:sz w:val="20"/>
          <w:szCs w:val="20"/>
        </w:rPr>
        <w:t xml:space="preserve"> The consultant shall review all relevant project documents and reference materials, including the approved baseline survey, approved </w:t>
      </w:r>
      <w:proofErr w:type="spellStart"/>
      <w:r>
        <w:rPr>
          <w:sz w:val="20"/>
          <w:szCs w:val="20"/>
        </w:rPr>
        <w:t>logframe</w:t>
      </w:r>
      <w:proofErr w:type="spellEnd"/>
      <w:r>
        <w:rPr>
          <w:sz w:val="20"/>
          <w:szCs w:val="20"/>
        </w:rPr>
        <w:t>, approved PITT, indicator definitions, relevant monitoring datasets, and prior internal analytical documents nece</w:t>
      </w:r>
      <w:r>
        <w:rPr>
          <w:sz w:val="20"/>
          <w:szCs w:val="20"/>
        </w:rPr>
        <w:t>ssary to finalize the assessment scope.</w:t>
      </w:r>
    </w:p>
    <w:p w:rsidR="00395BFB" w:rsidRDefault="00280084">
      <w:pPr>
        <w:spacing w:before="240" w:after="240" w:line="276" w:lineRule="auto"/>
        <w:rPr>
          <w:sz w:val="20"/>
          <w:szCs w:val="20"/>
        </w:rPr>
      </w:pPr>
      <w:r>
        <w:rPr>
          <w:b/>
          <w:bCs/>
          <w:sz w:val="20"/>
          <w:szCs w:val="20"/>
        </w:rPr>
        <w:t>1.2</w:t>
      </w:r>
      <w:r>
        <w:rPr>
          <w:sz w:val="20"/>
          <w:szCs w:val="20"/>
        </w:rPr>
        <w:t xml:space="preserve"> The consultant shall finalize the list of selected outcome and intermediate outcome indicators to be assessed under Outcomes 6, 7, and 8, and clearly define the corresponding respondent groups, units of analysis,</w:t>
      </w:r>
      <w:r>
        <w:rPr>
          <w:sz w:val="20"/>
          <w:szCs w:val="20"/>
        </w:rPr>
        <w:t xml:space="preserve"> tools, and measurement protocols.</w:t>
      </w:r>
    </w:p>
    <w:p w:rsidR="00395BFB" w:rsidRDefault="00280084">
      <w:pPr>
        <w:spacing w:before="240" w:after="240" w:line="276" w:lineRule="auto"/>
        <w:rPr>
          <w:sz w:val="20"/>
          <w:szCs w:val="20"/>
        </w:rPr>
      </w:pPr>
      <w:r>
        <w:rPr>
          <w:b/>
          <w:bCs/>
          <w:sz w:val="20"/>
          <w:szCs w:val="20"/>
        </w:rPr>
        <w:t>1.3</w:t>
      </w:r>
      <w:r>
        <w:rPr>
          <w:sz w:val="20"/>
          <w:szCs w:val="20"/>
        </w:rPr>
        <w:t xml:space="preserve"> The consultant shall assess progress against selected indicator areas related to women’s dietary diversity and diet quality using MDD-W/DQQ; child diet diversity and/or child feeding measures using IYCF-related module</w:t>
      </w:r>
      <w:r>
        <w:rPr>
          <w:sz w:val="20"/>
          <w:szCs w:val="20"/>
        </w:rPr>
        <w:t>s, where included in the final approved protocol; application of skills by trained personnel; market availability of nutrient-dense foods; household WASH access and service level using JMP-aligned measures; hygiene knowledge and/or practice; and other sele</w:t>
      </w:r>
      <w:r>
        <w:rPr>
          <w:sz w:val="20"/>
          <w:szCs w:val="20"/>
        </w:rPr>
        <w:t>cted approved indicators including, but not limited to, ID 221, ID 222, and ID 233.</w:t>
      </w:r>
    </w:p>
    <w:p w:rsidR="00395BFB" w:rsidRDefault="00280084">
      <w:pPr>
        <w:spacing w:before="240" w:after="240" w:line="276" w:lineRule="auto"/>
        <w:rPr>
          <w:sz w:val="20"/>
          <w:szCs w:val="20"/>
        </w:rPr>
      </w:pPr>
      <w:r>
        <w:rPr>
          <w:b/>
          <w:bCs/>
          <w:sz w:val="20"/>
          <w:szCs w:val="20"/>
        </w:rPr>
        <w:t>1.4</w:t>
      </w:r>
      <w:r>
        <w:rPr>
          <w:sz w:val="20"/>
          <w:szCs w:val="20"/>
        </w:rPr>
        <w:t xml:space="preserve"> The consultant shall apply appropriate standard tools, validated question modules, and clearly defined measurement protocols for the selected indicators, including DQQ/</w:t>
      </w:r>
      <w:r>
        <w:rPr>
          <w:sz w:val="20"/>
          <w:szCs w:val="20"/>
        </w:rPr>
        <w:t>MDD-W modules, IYCF-related modules where relevant, JMP core WASH questions and service ladder classification logic, and clearly justified modules for skill application, market availability, and promoted practice adoption.</w:t>
      </w:r>
    </w:p>
    <w:p w:rsidR="00395BFB" w:rsidRDefault="00280084">
      <w:pPr>
        <w:spacing w:before="240" w:after="240" w:line="276" w:lineRule="auto"/>
        <w:rPr>
          <w:sz w:val="20"/>
          <w:szCs w:val="20"/>
        </w:rPr>
      </w:pPr>
      <w:r>
        <w:rPr>
          <w:b/>
          <w:bCs/>
          <w:sz w:val="20"/>
          <w:szCs w:val="20"/>
        </w:rPr>
        <w:t>1.5</w:t>
      </w:r>
      <w:r>
        <w:rPr>
          <w:sz w:val="20"/>
          <w:szCs w:val="20"/>
        </w:rPr>
        <w:t xml:space="preserve"> The consultant shall undertak</w:t>
      </w:r>
      <w:r>
        <w:rPr>
          <w:sz w:val="20"/>
          <w:szCs w:val="20"/>
        </w:rPr>
        <w:t>e quantitative and qualitative data collection for the selected indicators in a manner that supports credible comparison against the approved baseline survey, where such comparison is methodologically valid and where definitions, respondent groups, questio</w:t>
      </w:r>
      <w:r>
        <w:rPr>
          <w:sz w:val="20"/>
          <w:szCs w:val="20"/>
        </w:rPr>
        <w:t>n wording, and measurement logic are sufficiently comparable.</w:t>
      </w:r>
    </w:p>
    <w:p w:rsidR="00395BFB" w:rsidRDefault="00280084">
      <w:pPr>
        <w:spacing w:before="240" w:after="240" w:line="276" w:lineRule="auto"/>
        <w:rPr>
          <w:sz w:val="20"/>
          <w:szCs w:val="20"/>
        </w:rPr>
      </w:pPr>
      <w:r>
        <w:rPr>
          <w:b/>
          <w:bCs/>
          <w:sz w:val="20"/>
          <w:szCs w:val="20"/>
        </w:rPr>
        <w:t>1.6</w:t>
      </w:r>
      <w:r>
        <w:rPr>
          <w:sz w:val="20"/>
          <w:szCs w:val="20"/>
        </w:rPr>
        <w:t xml:space="preserve"> The consultant shall analyze progress and variation across selected indicators and identify the principal drivers, barriers, and contextual factors influencing performance, adoption, service</w:t>
      </w:r>
      <w:r>
        <w:rPr>
          <w:sz w:val="20"/>
          <w:szCs w:val="20"/>
        </w:rPr>
        <w:t xml:space="preserve"> use, behavior change, and outcome-level progress across the assessed areas.</w:t>
      </w:r>
    </w:p>
    <w:p w:rsidR="00395BFB" w:rsidRDefault="00280084">
      <w:pPr>
        <w:spacing w:before="240" w:after="240" w:line="276" w:lineRule="auto"/>
        <w:rPr>
          <w:sz w:val="20"/>
          <w:szCs w:val="20"/>
        </w:rPr>
      </w:pPr>
      <w:r>
        <w:rPr>
          <w:b/>
          <w:bCs/>
          <w:sz w:val="20"/>
          <w:szCs w:val="20"/>
        </w:rPr>
        <w:t>1.7</w:t>
      </w:r>
      <w:r>
        <w:rPr>
          <w:sz w:val="20"/>
          <w:szCs w:val="20"/>
        </w:rPr>
        <w:t xml:space="preserve"> The consultant shall clearly document any limitations related to baseline comparability, inference, sampling, or measurement so that findings are interpreted within appropriat</w:t>
      </w:r>
      <w:r>
        <w:rPr>
          <w:sz w:val="20"/>
          <w:szCs w:val="20"/>
        </w:rPr>
        <w:t>e technical boundaries.</w:t>
      </w:r>
    </w:p>
    <w:p w:rsidR="00395BFB" w:rsidRDefault="00280084">
      <w:pPr>
        <w:pStyle w:val="Heading3"/>
        <w:keepNext w:val="0"/>
        <w:keepLines w:val="0"/>
        <w:spacing w:line="276" w:lineRule="auto"/>
        <w:rPr>
          <w:sz w:val="24"/>
          <w:szCs w:val="24"/>
        </w:rPr>
      </w:pPr>
      <w:bookmarkStart w:id="5" w:name="_heading=h.ldbj1fm3tryj" w:colFirst="0" w:colLast="0"/>
      <w:bookmarkEnd w:id="5"/>
      <w:r>
        <w:rPr>
          <w:sz w:val="24"/>
          <w:szCs w:val="24"/>
        </w:rPr>
        <w:lastRenderedPageBreak/>
        <w:t>2. Scope under Objective 2: Thematic Evidence Generation across Priority Analytical Modules</w:t>
      </w:r>
    </w:p>
    <w:p w:rsidR="00395BFB" w:rsidRDefault="00280084">
      <w:pPr>
        <w:spacing w:before="240" w:after="240" w:line="276" w:lineRule="auto"/>
        <w:rPr>
          <w:sz w:val="20"/>
          <w:szCs w:val="20"/>
        </w:rPr>
      </w:pPr>
      <w:r>
        <w:rPr>
          <w:b/>
          <w:bCs/>
          <w:sz w:val="20"/>
          <w:szCs w:val="20"/>
        </w:rPr>
        <w:t>2.1</w:t>
      </w:r>
      <w:r>
        <w:rPr>
          <w:sz w:val="20"/>
          <w:szCs w:val="20"/>
        </w:rPr>
        <w:t xml:space="preserve"> The consultant shall translate the priority analytical modules into a clear analytical framework by preparing a module-wise variable mat</w:t>
      </w:r>
      <w:r>
        <w:rPr>
          <w:sz w:val="20"/>
          <w:szCs w:val="20"/>
        </w:rPr>
        <w:t>rix that identifies the key research questions, dependent and independent variables, mediating and contextual variables, respondent groups, data sources, tools, and analytical outputs for each module.</w:t>
      </w:r>
    </w:p>
    <w:p w:rsidR="00395BFB" w:rsidRDefault="00280084">
      <w:pPr>
        <w:spacing w:before="240" w:after="240" w:line="276" w:lineRule="auto"/>
        <w:rPr>
          <w:sz w:val="20"/>
          <w:szCs w:val="20"/>
        </w:rPr>
      </w:pPr>
      <w:r>
        <w:rPr>
          <w:b/>
          <w:bCs/>
          <w:sz w:val="20"/>
          <w:szCs w:val="20"/>
        </w:rPr>
        <w:t>2.2</w:t>
      </w:r>
      <w:r>
        <w:rPr>
          <w:sz w:val="20"/>
          <w:szCs w:val="20"/>
        </w:rPr>
        <w:t xml:space="preserve"> Under the first analytical module, the consultant s</w:t>
      </w:r>
      <w:r>
        <w:rPr>
          <w:sz w:val="20"/>
          <w:szCs w:val="20"/>
        </w:rPr>
        <w:t>hall generate evidence on the contribution of market-based WASH services to nutrition-relevant household conditions and selected nutrition-related outcomes by examining access to and uptake of improved sanitation and safe water solutions, sustained use and</w:t>
      </w:r>
      <w:r>
        <w:rPr>
          <w:sz w:val="20"/>
          <w:szCs w:val="20"/>
        </w:rPr>
        <w:t xml:space="preserve"> maintenance of improved WASH products and practices, household hygiene conditions, affordability and accessibility barriers, and plausible WASH–nutrition pathways including reduced exposure to diarrheal risk and improved conditions for caregiving and food</w:t>
      </w:r>
      <w:r>
        <w:rPr>
          <w:sz w:val="20"/>
          <w:szCs w:val="20"/>
        </w:rPr>
        <w:t xml:space="preserve"> utilization.</w:t>
      </w:r>
    </w:p>
    <w:p w:rsidR="00395BFB" w:rsidRDefault="00280084">
      <w:pPr>
        <w:spacing w:before="240" w:after="240" w:line="276" w:lineRule="auto"/>
        <w:rPr>
          <w:sz w:val="20"/>
          <w:szCs w:val="20"/>
        </w:rPr>
      </w:pPr>
      <w:r>
        <w:rPr>
          <w:b/>
          <w:bCs/>
          <w:sz w:val="20"/>
          <w:szCs w:val="20"/>
        </w:rPr>
        <w:t>2.3</w:t>
      </w:r>
      <w:r>
        <w:rPr>
          <w:sz w:val="20"/>
          <w:szCs w:val="20"/>
        </w:rPr>
        <w:t xml:space="preserve"> Under the first analytical module, the consultant shall also assess the role of private-sector WASH actors, including latrine producers and related service providers, in improving service uptake, continuity, and local system integration, </w:t>
      </w:r>
      <w:r>
        <w:rPr>
          <w:sz w:val="20"/>
          <w:szCs w:val="20"/>
        </w:rPr>
        <w:t>and shall identify the operational and behavioral factors affecting sustainability and scale.</w:t>
      </w:r>
    </w:p>
    <w:p w:rsidR="00395BFB" w:rsidRDefault="00280084">
      <w:pPr>
        <w:spacing w:before="240" w:after="240" w:line="276" w:lineRule="auto"/>
        <w:rPr>
          <w:sz w:val="20"/>
          <w:szCs w:val="20"/>
        </w:rPr>
      </w:pPr>
      <w:r>
        <w:rPr>
          <w:b/>
          <w:bCs/>
          <w:sz w:val="20"/>
          <w:szCs w:val="20"/>
        </w:rPr>
        <w:t>2.4</w:t>
      </w:r>
      <w:r>
        <w:rPr>
          <w:sz w:val="20"/>
          <w:szCs w:val="20"/>
        </w:rPr>
        <w:t xml:space="preserve"> Under the second analytical module, the consultant shall assess Nutrition Entrepreneur deployment effectiveness by examining current NE deployment patterns, h</w:t>
      </w:r>
      <w:r>
        <w:rPr>
          <w:sz w:val="20"/>
          <w:szCs w:val="20"/>
        </w:rPr>
        <w:t>ousehold reach, repeat-customer dynamics, referrals, service mix, product mix, sales, income, business viability, and geographic coverage efficiency across project areas.</w:t>
      </w:r>
    </w:p>
    <w:p w:rsidR="00395BFB" w:rsidRDefault="00280084">
      <w:pPr>
        <w:spacing w:before="240" w:after="240" w:line="276" w:lineRule="auto"/>
        <w:rPr>
          <w:sz w:val="20"/>
          <w:szCs w:val="20"/>
        </w:rPr>
      </w:pPr>
      <w:r>
        <w:rPr>
          <w:b/>
          <w:bCs/>
          <w:sz w:val="20"/>
          <w:szCs w:val="20"/>
        </w:rPr>
        <w:t>2.5</w:t>
      </w:r>
      <w:r>
        <w:rPr>
          <w:sz w:val="20"/>
          <w:szCs w:val="20"/>
        </w:rPr>
        <w:t xml:space="preserve"> Under the second analytical module, the consultant shall estimate practical impli</w:t>
      </w:r>
      <w:r>
        <w:rPr>
          <w:sz w:val="20"/>
          <w:szCs w:val="20"/>
        </w:rPr>
        <w:t>cations for NE density and saturation by analyzing how NE concentration, mobility support, contextual conditions, and linkage strength affect service effectiveness, household coverage, and business performance in different unions and geographic settings.</w:t>
      </w:r>
    </w:p>
    <w:p w:rsidR="00395BFB" w:rsidRDefault="00280084">
      <w:pPr>
        <w:spacing w:before="240" w:after="240" w:line="276" w:lineRule="auto"/>
        <w:rPr>
          <w:sz w:val="20"/>
          <w:szCs w:val="20"/>
        </w:rPr>
      </w:pPr>
      <w:r>
        <w:rPr>
          <w:b/>
          <w:bCs/>
          <w:sz w:val="20"/>
          <w:szCs w:val="20"/>
        </w:rPr>
        <w:t>2</w:t>
      </w:r>
      <w:r>
        <w:rPr>
          <w:b/>
          <w:bCs/>
          <w:sz w:val="20"/>
          <w:szCs w:val="20"/>
        </w:rPr>
        <w:t>.6</w:t>
      </w:r>
      <w:r>
        <w:rPr>
          <w:sz w:val="20"/>
          <w:szCs w:val="20"/>
        </w:rPr>
        <w:t xml:space="preserve"> Under the third analytical module, the consultant shall assess the affordability, equity, climate resilience, operational sustainability, and financial viability of selected market-based rural water service models, with specific focus on the SMART piped</w:t>
      </w:r>
      <w:r>
        <w:rPr>
          <w:sz w:val="20"/>
          <w:szCs w:val="20"/>
        </w:rPr>
        <w:t>-water model in Patuakhali.</w:t>
      </w:r>
    </w:p>
    <w:p w:rsidR="00395BFB" w:rsidRDefault="00280084">
      <w:pPr>
        <w:spacing w:before="240" w:after="240" w:line="276" w:lineRule="auto"/>
        <w:rPr>
          <w:sz w:val="20"/>
          <w:szCs w:val="20"/>
        </w:rPr>
      </w:pPr>
      <w:r>
        <w:rPr>
          <w:b/>
          <w:bCs/>
          <w:sz w:val="20"/>
          <w:szCs w:val="20"/>
        </w:rPr>
        <w:t>2.7</w:t>
      </w:r>
      <w:r>
        <w:rPr>
          <w:sz w:val="20"/>
          <w:szCs w:val="20"/>
        </w:rPr>
        <w:t xml:space="preserve"> Under the third analytical module, the consultant shall examine household drinking-water service conditions using JMP-aligned measures, including accessibility, availability, reliability, and continuity, and assess household</w:t>
      </w:r>
      <w:r>
        <w:rPr>
          <w:sz w:val="20"/>
          <w:szCs w:val="20"/>
        </w:rPr>
        <w:t xml:space="preserve"> connection, service use, willingness to pay, tariff acceptability, inclusion of poor and climate-vulnerable households, and user satisfaction.</w:t>
      </w:r>
    </w:p>
    <w:p w:rsidR="00395BFB" w:rsidRDefault="00280084">
      <w:pPr>
        <w:spacing w:before="240" w:after="240" w:line="276" w:lineRule="auto"/>
        <w:rPr>
          <w:sz w:val="20"/>
          <w:szCs w:val="20"/>
        </w:rPr>
      </w:pPr>
      <w:r>
        <w:rPr>
          <w:b/>
          <w:bCs/>
          <w:sz w:val="20"/>
          <w:szCs w:val="20"/>
        </w:rPr>
        <w:t>2.8</w:t>
      </w:r>
      <w:r>
        <w:rPr>
          <w:sz w:val="20"/>
          <w:szCs w:val="20"/>
        </w:rPr>
        <w:t xml:space="preserve"> Under the third analytical module, the consultant shall assess the technical, governance, and financial dime</w:t>
      </w:r>
      <w:r>
        <w:rPr>
          <w:sz w:val="20"/>
          <w:szCs w:val="20"/>
        </w:rPr>
        <w:t>nsions of the Patuakhali SMART piped-water model, including climate-resilient design features, operation and maintenance arrangements, revenue logic, cost recovery potential, private-sector management arrangements, and replication potential for climate-vul</w:t>
      </w:r>
      <w:r>
        <w:rPr>
          <w:sz w:val="20"/>
          <w:szCs w:val="20"/>
        </w:rPr>
        <w:t>nerable contexts.</w:t>
      </w:r>
    </w:p>
    <w:p w:rsidR="00395BFB" w:rsidRDefault="00280084">
      <w:pPr>
        <w:spacing w:before="240" w:after="240" w:line="276" w:lineRule="auto"/>
        <w:rPr>
          <w:sz w:val="20"/>
          <w:szCs w:val="20"/>
        </w:rPr>
      </w:pPr>
      <w:r>
        <w:rPr>
          <w:b/>
          <w:bCs/>
          <w:sz w:val="20"/>
          <w:szCs w:val="20"/>
        </w:rPr>
        <w:t>2.9</w:t>
      </w:r>
      <w:r>
        <w:rPr>
          <w:sz w:val="20"/>
          <w:szCs w:val="20"/>
        </w:rPr>
        <w:t xml:space="preserve"> Across all analytical modules, the consultant shall triangulate findings from primary data, routine monitoring data, secondary materials, and qualitative inquiry in order to produce decision-oriented thematic evidence rather than stan</w:t>
      </w:r>
      <w:r>
        <w:rPr>
          <w:sz w:val="20"/>
          <w:szCs w:val="20"/>
        </w:rPr>
        <w:t>d-alone descriptive findings.</w:t>
      </w:r>
    </w:p>
    <w:p w:rsidR="00395BFB" w:rsidRDefault="00280084">
      <w:pPr>
        <w:pStyle w:val="Heading3"/>
        <w:keepNext w:val="0"/>
        <w:keepLines w:val="0"/>
        <w:spacing w:line="276" w:lineRule="auto"/>
        <w:rPr>
          <w:sz w:val="24"/>
          <w:szCs w:val="24"/>
        </w:rPr>
      </w:pPr>
      <w:bookmarkStart w:id="6" w:name="_heading=h.mj7z99d6p44l" w:colFirst="0" w:colLast="0"/>
      <w:bookmarkEnd w:id="6"/>
      <w:r>
        <w:rPr>
          <w:sz w:val="24"/>
          <w:szCs w:val="24"/>
        </w:rPr>
        <w:lastRenderedPageBreak/>
        <w:t>3. Scope under Objective 3: Nutrition Entrepreneur Graduation and Tiering Model Development</w:t>
      </w:r>
    </w:p>
    <w:p w:rsidR="00395BFB" w:rsidRDefault="00280084">
      <w:pPr>
        <w:spacing w:before="240" w:after="240" w:line="276" w:lineRule="auto"/>
        <w:rPr>
          <w:sz w:val="20"/>
          <w:szCs w:val="20"/>
        </w:rPr>
      </w:pPr>
      <w:r>
        <w:rPr>
          <w:b/>
          <w:bCs/>
          <w:sz w:val="20"/>
          <w:szCs w:val="20"/>
        </w:rPr>
        <w:t>3.1</w:t>
      </w:r>
      <w:r>
        <w:rPr>
          <w:sz w:val="20"/>
          <w:szCs w:val="20"/>
        </w:rPr>
        <w:t xml:space="preserve"> The consultant shall review monitoring and performance data for the validated roster of active Nutrition Entrepreneurs available a</w:t>
      </w:r>
      <w:r>
        <w:rPr>
          <w:sz w:val="20"/>
          <w:szCs w:val="20"/>
        </w:rPr>
        <w:t xml:space="preserve">t inception (currently 387 NEs), including sales, referrals, service activity, support history, and operational performance data relevant to assessing NE maturity and progression.  </w:t>
      </w:r>
    </w:p>
    <w:p w:rsidR="00395BFB" w:rsidRDefault="00280084">
      <w:pPr>
        <w:spacing w:before="240" w:after="240" w:line="276" w:lineRule="auto"/>
        <w:rPr>
          <w:sz w:val="20"/>
          <w:szCs w:val="20"/>
        </w:rPr>
      </w:pPr>
      <w:r>
        <w:rPr>
          <w:b/>
          <w:bCs/>
          <w:sz w:val="20"/>
          <w:szCs w:val="20"/>
        </w:rPr>
        <w:t>3.2</w:t>
      </w:r>
      <w:r>
        <w:rPr>
          <w:sz w:val="20"/>
          <w:szCs w:val="20"/>
        </w:rPr>
        <w:t xml:space="preserve"> The consultant shall identify critical data gaps that limit the develo</w:t>
      </w:r>
      <w:r>
        <w:rPr>
          <w:sz w:val="20"/>
          <w:szCs w:val="20"/>
        </w:rPr>
        <w:t>pment of a practical NE graduation and tiering model and shall define the additional evidence required to address those gaps.</w:t>
      </w:r>
    </w:p>
    <w:p w:rsidR="00395BFB" w:rsidRDefault="00280084">
      <w:pPr>
        <w:spacing w:before="240" w:after="240" w:line="276" w:lineRule="auto"/>
        <w:rPr>
          <w:sz w:val="20"/>
          <w:szCs w:val="20"/>
        </w:rPr>
      </w:pPr>
      <w:r>
        <w:rPr>
          <w:b/>
          <w:bCs/>
          <w:sz w:val="20"/>
          <w:szCs w:val="20"/>
        </w:rPr>
        <w:t>3.3</w:t>
      </w:r>
      <w:r>
        <w:rPr>
          <w:sz w:val="20"/>
          <w:szCs w:val="20"/>
        </w:rPr>
        <w:t xml:space="preserve"> The consultant shall undertake additional primary data collection among a purposively selected sample representing </w:t>
      </w:r>
      <w:r>
        <w:rPr>
          <w:b/>
          <w:bCs/>
          <w:sz w:val="20"/>
          <w:szCs w:val="20"/>
        </w:rPr>
        <w:t>50% of acti</w:t>
      </w:r>
      <w:r>
        <w:rPr>
          <w:b/>
          <w:bCs/>
          <w:sz w:val="20"/>
          <w:szCs w:val="20"/>
        </w:rPr>
        <w:t>ve Nutrition Entrepreneurs (NEs), based on the validated active NE roster available at inception</w:t>
      </w:r>
      <w:r>
        <w:rPr>
          <w:sz w:val="20"/>
          <w:szCs w:val="20"/>
        </w:rPr>
        <w:t xml:space="preserve">, in order to assess business maturity, competency, market linkage, operational intensity, support needs, and sustainability. </w:t>
      </w:r>
    </w:p>
    <w:p w:rsidR="00395BFB" w:rsidRDefault="00280084">
      <w:pPr>
        <w:spacing w:before="240" w:after="240" w:line="276" w:lineRule="auto"/>
        <w:rPr>
          <w:sz w:val="20"/>
          <w:szCs w:val="20"/>
        </w:rPr>
      </w:pPr>
      <w:r>
        <w:rPr>
          <w:b/>
          <w:bCs/>
          <w:sz w:val="20"/>
          <w:szCs w:val="20"/>
        </w:rPr>
        <w:t>3.4</w:t>
      </w:r>
      <w:r>
        <w:rPr>
          <w:sz w:val="20"/>
          <w:szCs w:val="20"/>
        </w:rPr>
        <w:t xml:space="preserve"> The consultant shall analyze evidence from existing NE datasets and additional primary data in order to identify key dimensions and criteria for classifying Nutrition Entrepreneurs by performance level, business maturity, and graduation readiness.</w:t>
      </w:r>
    </w:p>
    <w:p w:rsidR="00395BFB" w:rsidRDefault="00280084">
      <w:pPr>
        <w:spacing w:before="240" w:after="240" w:line="276" w:lineRule="auto"/>
        <w:rPr>
          <w:sz w:val="20"/>
          <w:szCs w:val="20"/>
        </w:rPr>
      </w:pPr>
      <w:r>
        <w:rPr>
          <w:b/>
          <w:bCs/>
          <w:sz w:val="20"/>
          <w:szCs w:val="20"/>
        </w:rPr>
        <w:t>3.5</w:t>
      </w:r>
      <w:r>
        <w:rPr>
          <w:sz w:val="20"/>
          <w:szCs w:val="20"/>
        </w:rPr>
        <w:t xml:space="preserve"> The</w:t>
      </w:r>
      <w:r>
        <w:rPr>
          <w:sz w:val="20"/>
          <w:szCs w:val="20"/>
        </w:rPr>
        <w:t xml:space="preserve"> consultant shall develop a draft NE graduation and tiering framework with clearly defined dimensions, indicators, criteria, and thresholds that can be used by </w:t>
      </w:r>
      <w:proofErr w:type="spellStart"/>
      <w:r>
        <w:rPr>
          <w:sz w:val="20"/>
          <w:szCs w:val="20"/>
        </w:rPr>
        <w:t>iDE</w:t>
      </w:r>
      <w:proofErr w:type="spellEnd"/>
      <w:r>
        <w:rPr>
          <w:sz w:val="20"/>
          <w:szCs w:val="20"/>
        </w:rPr>
        <w:t xml:space="preserve"> Bangladesh for classification and operational decision-making.</w:t>
      </w:r>
    </w:p>
    <w:p w:rsidR="00395BFB" w:rsidRDefault="00280084">
      <w:pPr>
        <w:spacing w:before="240" w:after="240" w:line="276" w:lineRule="auto"/>
        <w:rPr>
          <w:sz w:val="20"/>
          <w:szCs w:val="20"/>
        </w:rPr>
      </w:pPr>
      <w:r>
        <w:rPr>
          <w:b/>
          <w:bCs/>
          <w:sz w:val="20"/>
          <w:szCs w:val="20"/>
        </w:rPr>
        <w:t>3.6</w:t>
      </w:r>
      <w:r>
        <w:rPr>
          <w:sz w:val="20"/>
          <w:szCs w:val="20"/>
        </w:rPr>
        <w:t xml:space="preserve"> The consultant shall vali</w:t>
      </w:r>
      <w:r>
        <w:rPr>
          <w:sz w:val="20"/>
          <w:szCs w:val="20"/>
        </w:rPr>
        <w:t xml:space="preserve">date and refine the proposed model through consultation with </w:t>
      </w:r>
      <w:proofErr w:type="spellStart"/>
      <w:r>
        <w:rPr>
          <w:sz w:val="20"/>
          <w:szCs w:val="20"/>
        </w:rPr>
        <w:t>iDE</w:t>
      </w:r>
      <w:proofErr w:type="spellEnd"/>
      <w:r>
        <w:rPr>
          <w:sz w:val="20"/>
          <w:szCs w:val="20"/>
        </w:rPr>
        <w:t xml:space="preserve"> Bangladesh and through review of field realities, implementation experience, and analytical findings.</w:t>
      </w:r>
    </w:p>
    <w:p w:rsidR="00395BFB" w:rsidRDefault="00280084">
      <w:pPr>
        <w:spacing w:before="240" w:after="240" w:line="276" w:lineRule="auto"/>
        <w:rPr>
          <w:sz w:val="20"/>
          <w:szCs w:val="20"/>
        </w:rPr>
      </w:pPr>
      <w:r>
        <w:rPr>
          <w:b/>
          <w:bCs/>
          <w:sz w:val="20"/>
          <w:szCs w:val="20"/>
        </w:rPr>
        <w:t>3.7</w:t>
      </w:r>
      <w:r>
        <w:rPr>
          <w:sz w:val="20"/>
          <w:szCs w:val="20"/>
        </w:rPr>
        <w:t xml:space="preserve"> The consultant shall produce a final evidence-informed NE graduation and tiering mode</w:t>
      </w:r>
      <w:r>
        <w:rPr>
          <w:sz w:val="20"/>
          <w:szCs w:val="20"/>
        </w:rPr>
        <w:t>l together with practical recommendations on how the model should be applied for targeting, differentiated support, coaching, monitoring, performance management, and future program planning.</w:t>
      </w:r>
    </w:p>
    <w:p w:rsidR="00395BFB" w:rsidRDefault="00280084">
      <w:pPr>
        <w:pStyle w:val="Heading3"/>
        <w:keepNext w:val="0"/>
        <w:keepLines w:val="0"/>
        <w:spacing w:line="276" w:lineRule="auto"/>
        <w:rPr>
          <w:sz w:val="24"/>
          <w:szCs w:val="24"/>
        </w:rPr>
      </w:pPr>
      <w:bookmarkStart w:id="7" w:name="_heading=h.llwakiuhko80" w:colFirst="0" w:colLast="0"/>
      <w:bookmarkEnd w:id="7"/>
      <w:r>
        <w:rPr>
          <w:sz w:val="24"/>
          <w:szCs w:val="24"/>
        </w:rPr>
        <w:t>4. Scope Exclusions and Boundaries</w:t>
      </w:r>
    </w:p>
    <w:p w:rsidR="00395BFB" w:rsidRDefault="00280084">
      <w:pPr>
        <w:spacing w:before="240" w:after="240" w:line="276" w:lineRule="auto"/>
        <w:rPr>
          <w:sz w:val="20"/>
          <w:szCs w:val="20"/>
        </w:rPr>
      </w:pPr>
      <w:r>
        <w:rPr>
          <w:b/>
          <w:bCs/>
          <w:sz w:val="20"/>
          <w:szCs w:val="20"/>
        </w:rPr>
        <w:t>4.1</w:t>
      </w:r>
      <w:r>
        <w:rPr>
          <w:sz w:val="20"/>
          <w:szCs w:val="20"/>
        </w:rPr>
        <w:t xml:space="preserve"> This assignment is not int</w:t>
      </w:r>
      <w:r>
        <w:rPr>
          <w:sz w:val="20"/>
          <w:szCs w:val="20"/>
        </w:rPr>
        <w:t xml:space="preserve">ended to serve as a baseline study, </w:t>
      </w:r>
      <w:proofErr w:type="spellStart"/>
      <w:r>
        <w:rPr>
          <w:sz w:val="20"/>
          <w:szCs w:val="20"/>
        </w:rPr>
        <w:t>endline</w:t>
      </w:r>
      <w:proofErr w:type="spellEnd"/>
      <w:r>
        <w:rPr>
          <w:sz w:val="20"/>
          <w:szCs w:val="20"/>
        </w:rPr>
        <w:t xml:space="preserve"> study, or full causal impact evaluation.</w:t>
      </w:r>
    </w:p>
    <w:p w:rsidR="00395BFB" w:rsidRDefault="00280084">
      <w:pPr>
        <w:spacing w:before="240" w:after="240" w:line="276" w:lineRule="auto"/>
        <w:rPr>
          <w:sz w:val="20"/>
          <w:szCs w:val="20"/>
        </w:rPr>
      </w:pPr>
      <w:r>
        <w:rPr>
          <w:b/>
          <w:bCs/>
          <w:sz w:val="20"/>
          <w:szCs w:val="20"/>
        </w:rPr>
        <w:t>4.2</w:t>
      </w:r>
      <w:r>
        <w:rPr>
          <w:sz w:val="20"/>
          <w:szCs w:val="20"/>
        </w:rPr>
        <w:t xml:space="preserve"> Comparison of selected indicators shall be made against the approved baseline survey only, and only where such comparison is methodologically valid.</w:t>
      </w:r>
    </w:p>
    <w:p w:rsidR="00395BFB" w:rsidRDefault="00280084">
      <w:pPr>
        <w:spacing w:before="240" w:after="240" w:line="276" w:lineRule="auto"/>
        <w:rPr>
          <w:sz w:val="20"/>
          <w:szCs w:val="20"/>
        </w:rPr>
      </w:pPr>
      <w:r>
        <w:rPr>
          <w:b/>
          <w:bCs/>
          <w:sz w:val="20"/>
          <w:szCs w:val="20"/>
        </w:rPr>
        <w:t>4.3</w:t>
      </w:r>
      <w:r>
        <w:rPr>
          <w:sz w:val="20"/>
          <w:szCs w:val="20"/>
        </w:rPr>
        <w:t xml:space="preserve"> The assignment</w:t>
      </w:r>
      <w:r>
        <w:rPr>
          <w:sz w:val="20"/>
          <w:szCs w:val="20"/>
        </w:rPr>
        <w:t xml:space="preserve"> is intended as an integrated intermediate outcome and thematic learning assessment for </w:t>
      </w:r>
      <w:proofErr w:type="spellStart"/>
      <w:r>
        <w:rPr>
          <w:sz w:val="20"/>
          <w:szCs w:val="20"/>
        </w:rPr>
        <w:t>iDE</w:t>
      </w:r>
      <w:proofErr w:type="spellEnd"/>
      <w:r>
        <w:rPr>
          <w:sz w:val="20"/>
          <w:szCs w:val="20"/>
        </w:rPr>
        <w:t xml:space="preserve"> Bangladesh’s TLTN component only and does not constitute a consortium-wide assessment of all TLTN partners.</w:t>
      </w:r>
    </w:p>
    <w:p w:rsidR="00395BFB" w:rsidRDefault="00280084">
      <w:pPr>
        <w:spacing w:before="240" w:after="240" w:line="276" w:lineRule="auto"/>
        <w:rPr>
          <w:sz w:val="20"/>
          <w:szCs w:val="20"/>
        </w:rPr>
      </w:pPr>
      <w:r>
        <w:rPr>
          <w:b/>
          <w:bCs/>
          <w:sz w:val="20"/>
          <w:szCs w:val="20"/>
        </w:rPr>
        <w:t>4.4</w:t>
      </w:r>
      <w:r>
        <w:rPr>
          <w:sz w:val="20"/>
          <w:szCs w:val="20"/>
        </w:rPr>
        <w:t xml:space="preserve"> The thematic module on the SMART piped-water model shall be geographically focused on Patuakhali and should not be interpreted as a system-wide evaluation of all rural water models within the broader project area.</w:t>
      </w:r>
    </w:p>
    <w:p w:rsidR="00395BFB" w:rsidRDefault="00280084">
      <w:pPr>
        <w:spacing w:before="240" w:after="240" w:line="276" w:lineRule="auto"/>
        <w:rPr>
          <w:sz w:val="20"/>
          <w:szCs w:val="20"/>
        </w:rPr>
      </w:pPr>
      <w:r>
        <w:rPr>
          <w:b/>
          <w:bCs/>
          <w:sz w:val="20"/>
          <w:szCs w:val="20"/>
        </w:rPr>
        <w:lastRenderedPageBreak/>
        <w:t>5. Generation of practical learning and r</w:t>
      </w:r>
      <w:r>
        <w:rPr>
          <w:b/>
          <w:bCs/>
          <w:sz w:val="20"/>
          <w:szCs w:val="20"/>
        </w:rPr>
        <w:t>ecommendations</w:t>
      </w:r>
      <w:r>
        <w:rPr>
          <w:b/>
          <w:bCs/>
          <w:sz w:val="20"/>
          <w:szCs w:val="20"/>
        </w:rPr>
        <w:br/>
      </w:r>
      <w:r>
        <w:rPr>
          <w:sz w:val="20"/>
          <w:szCs w:val="20"/>
        </w:rPr>
        <w:t xml:space="preserve"> The consultancy shall generate clear, prioritized, and actionable recommendations to strengthen implementation quality, support adaptive management, refine delivery models and support approaches, and inform Year 3–5 planning and subsequent </w:t>
      </w:r>
      <w:r>
        <w:rPr>
          <w:sz w:val="20"/>
          <w:szCs w:val="20"/>
        </w:rPr>
        <w:t>program decisions.</w:t>
      </w:r>
    </w:p>
    <w:p w:rsidR="00395BFB" w:rsidRDefault="00280084">
      <w:pPr>
        <w:spacing w:before="240" w:after="240" w:line="276" w:lineRule="auto"/>
        <w:rPr>
          <w:sz w:val="20"/>
          <w:szCs w:val="20"/>
        </w:rPr>
      </w:pPr>
      <w:r>
        <w:rPr>
          <w:sz w:val="20"/>
          <w:szCs w:val="20"/>
        </w:rPr>
        <w:t xml:space="preserve">This assignment is expected to be implemented as </w:t>
      </w:r>
      <w:r>
        <w:rPr>
          <w:b/>
          <w:bCs/>
          <w:sz w:val="20"/>
          <w:szCs w:val="20"/>
        </w:rPr>
        <w:t>one integrated annual intermediate outcome and thematic learning assessment</w:t>
      </w:r>
      <w:r>
        <w:rPr>
          <w:sz w:val="20"/>
          <w:szCs w:val="20"/>
        </w:rPr>
        <w:t xml:space="preserve">, rather than as separate thematic studies for agriculture, enterprise development, WASH, and NE graduation. The </w:t>
      </w:r>
      <w:r>
        <w:rPr>
          <w:sz w:val="20"/>
          <w:szCs w:val="20"/>
        </w:rPr>
        <w:t>consultant is expected to propose a coherent study design proportionate to the timeline, budget, and intended management use of the findings.</w:t>
      </w:r>
    </w:p>
    <w:p w:rsidR="00395BFB" w:rsidRDefault="00280084">
      <w:pPr>
        <w:spacing w:before="240" w:after="240" w:line="276" w:lineRule="auto"/>
        <w:rPr>
          <w:sz w:val="20"/>
          <w:szCs w:val="20"/>
        </w:rPr>
      </w:pPr>
      <w:r>
        <w:rPr>
          <w:sz w:val="20"/>
          <w:szCs w:val="20"/>
        </w:rPr>
        <w:t xml:space="preserve">For clarity, this assignment does </w:t>
      </w:r>
      <w:r>
        <w:rPr>
          <w:b/>
          <w:bCs/>
          <w:sz w:val="20"/>
          <w:szCs w:val="20"/>
        </w:rPr>
        <w:t>not</w:t>
      </w:r>
      <w:r>
        <w:rPr>
          <w:sz w:val="20"/>
          <w:szCs w:val="20"/>
        </w:rPr>
        <w:t xml:space="preserve"> constitute:</w:t>
      </w:r>
    </w:p>
    <w:p w:rsidR="00395BFB" w:rsidRDefault="00280084">
      <w:pPr>
        <w:numPr>
          <w:ilvl w:val="0"/>
          <w:numId w:val="5"/>
        </w:numPr>
        <w:spacing w:before="240" w:line="276" w:lineRule="auto"/>
        <w:rPr>
          <w:sz w:val="20"/>
          <w:szCs w:val="20"/>
        </w:rPr>
      </w:pPr>
      <w:r>
        <w:rPr>
          <w:sz w:val="20"/>
          <w:szCs w:val="20"/>
        </w:rPr>
        <w:t>a baseline study;</w:t>
      </w:r>
    </w:p>
    <w:p w:rsidR="00395BFB" w:rsidRDefault="00280084">
      <w:pPr>
        <w:numPr>
          <w:ilvl w:val="0"/>
          <w:numId w:val="5"/>
        </w:numPr>
        <w:spacing w:line="276" w:lineRule="auto"/>
        <w:rPr>
          <w:sz w:val="20"/>
          <w:szCs w:val="20"/>
        </w:rPr>
      </w:pPr>
      <w:r>
        <w:rPr>
          <w:sz w:val="20"/>
          <w:szCs w:val="20"/>
        </w:rPr>
        <w:t xml:space="preserve">an </w:t>
      </w:r>
      <w:proofErr w:type="spellStart"/>
      <w:r>
        <w:rPr>
          <w:sz w:val="20"/>
          <w:szCs w:val="20"/>
        </w:rPr>
        <w:t>endline</w:t>
      </w:r>
      <w:proofErr w:type="spellEnd"/>
      <w:r>
        <w:rPr>
          <w:sz w:val="20"/>
          <w:szCs w:val="20"/>
        </w:rPr>
        <w:t xml:space="preserve"> study;</w:t>
      </w:r>
    </w:p>
    <w:p w:rsidR="00395BFB" w:rsidRDefault="00280084">
      <w:pPr>
        <w:numPr>
          <w:ilvl w:val="0"/>
          <w:numId w:val="5"/>
        </w:numPr>
        <w:spacing w:line="276" w:lineRule="auto"/>
        <w:rPr>
          <w:sz w:val="20"/>
          <w:szCs w:val="20"/>
        </w:rPr>
      </w:pPr>
      <w:r>
        <w:rPr>
          <w:sz w:val="20"/>
          <w:szCs w:val="20"/>
        </w:rPr>
        <w:t>a full causal impact evaluat</w:t>
      </w:r>
      <w:r>
        <w:rPr>
          <w:sz w:val="20"/>
          <w:szCs w:val="20"/>
        </w:rPr>
        <w:t>ion;</w:t>
      </w:r>
    </w:p>
    <w:p w:rsidR="00395BFB" w:rsidRDefault="00280084">
      <w:pPr>
        <w:numPr>
          <w:ilvl w:val="0"/>
          <w:numId w:val="5"/>
        </w:numPr>
        <w:spacing w:after="240" w:line="276" w:lineRule="auto"/>
        <w:rPr>
          <w:sz w:val="20"/>
          <w:szCs w:val="20"/>
        </w:rPr>
      </w:pPr>
      <w:r>
        <w:rPr>
          <w:sz w:val="20"/>
          <w:szCs w:val="20"/>
        </w:rPr>
        <w:t>a consortium-wide assessment covering all TLTN partners; or</w:t>
      </w:r>
    </w:p>
    <w:p w:rsidR="00395BFB" w:rsidRDefault="00280084">
      <w:pPr>
        <w:spacing w:before="240" w:after="240" w:line="276" w:lineRule="auto"/>
        <w:rPr>
          <w:sz w:val="20"/>
          <w:szCs w:val="20"/>
        </w:rPr>
      </w:pPr>
      <w:r>
        <w:rPr>
          <w:sz w:val="20"/>
          <w:szCs w:val="20"/>
        </w:rPr>
        <w:t>a requirement to replicate the full scale or methodology of any previous baseline survey unless clearly justified.</w:t>
      </w:r>
    </w:p>
    <w:p w:rsidR="00395BFB" w:rsidRDefault="00280084">
      <w:pPr>
        <w:widowControl w:val="0"/>
        <w:numPr>
          <w:ilvl w:val="0"/>
          <w:numId w:val="13"/>
        </w:numPr>
        <w:pBdr>
          <w:top w:val="nil"/>
          <w:left w:val="nil"/>
          <w:bottom w:val="nil"/>
          <w:right w:val="nil"/>
          <w:between w:val="nil"/>
        </w:pBdr>
        <w:tabs>
          <w:tab w:val="left" w:pos="450"/>
        </w:tabs>
        <w:spacing w:before="200" w:line="276" w:lineRule="auto"/>
        <w:ind w:left="270" w:hanging="270"/>
        <w:jc w:val="both"/>
        <w:rPr>
          <w:b/>
          <w:bCs/>
          <w:color w:val="FF5F4A"/>
          <w:sz w:val="20"/>
          <w:szCs w:val="20"/>
        </w:rPr>
      </w:pPr>
      <w:r>
        <w:rPr>
          <w:b/>
          <w:bCs/>
          <w:color w:val="EA4D39"/>
          <w:sz w:val="20"/>
          <w:szCs w:val="20"/>
          <w:highlight w:val="white"/>
        </w:rPr>
        <w:t>Geographic Area Distribution of the Assignment</w:t>
      </w:r>
    </w:p>
    <w:p w:rsidR="00395BFB" w:rsidRDefault="00280084">
      <w:pPr>
        <w:spacing w:before="240" w:after="240" w:line="276" w:lineRule="auto"/>
        <w:rPr>
          <w:sz w:val="20"/>
          <w:szCs w:val="20"/>
        </w:rPr>
      </w:pPr>
      <w:r>
        <w:rPr>
          <w:sz w:val="20"/>
          <w:szCs w:val="20"/>
        </w:rPr>
        <w:t xml:space="preserve">The assessment will be conducted within </w:t>
      </w:r>
      <w:proofErr w:type="spellStart"/>
      <w:r>
        <w:rPr>
          <w:sz w:val="20"/>
          <w:szCs w:val="20"/>
        </w:rPr>
        <w:t>iDE</w:t>
      </w:r>
      <w:proofErr w:type="spellEnd"/>
      <w:r>
        <w:rPr>
          <w:sz w:val="20"/>
          <w:szCs w:val="20"/>
        </w:rPr>
        <w:t xml:space="preserve"> Bangladesh’s TLTN operational geography in Bangladesh, covering the following divisions, districts, and </w:t>
      </w:r>
      <w:proofErr w:type="spellStart"/>
      <w:r>
        <w:rPr>
          <w:sz w:val="20"/>
          <w:szCs w:val="20"/>
        </w:rPr>
        <w:t>upazilas</w:t>
      </w:r>
      <w:proofErr w:type="spellEnd"/>
      <w:r>
        <w:rPr>
          <w:sz w:val="20"/>
          <w:szCs w:val="20"/>
        </w:rPr>
        <w:t>.</w:t>
      </w:r>
    </w:p>
    <w:p w:rsidR="00395BFB" w:rsidRDefault="00280084">
      <w:pPr>
        <w:numPr>
          <w:ilvl w:val="0"/>
          <w:numId w:val="8"/>
        </w:numPr>
        <w:spacing w:before="240" w:line="276" w:lineRule="auto"/>
        <w:rPr>
          <w:sz w:val="20"/>
          <w:szCs w:val="20"/>
        </w:rPr>
      </w:pPr>
      <w:proofErr w:type="spellStart"/>
      <w:r>
        <w:rPr>
          <w:b/>
          <w:bCs/>
          <w:sz w:val="20"/>
          <w:szCs w:val="20"/>
        </w:rPr>
        <w:t>Barishal</w:t>
      </w:r>
      <w:proofErr w:type="spellEnd"/>
      <w:r>
        <w:rPr>
          <w:b/>
          <w:bCs/>
          <w:sz w:val="20"/>
          <w:szCs w:val="20"/>
        </w:rPr>
        <w:t xml:space="preserve"> Division</w:t>
      </w:r>
      <w:r>
        <w:rPr>
          <w:sz w:val="20"/>
          <w:szCs w:val="20"/>
        </w:rPr>
        <w:t>: Covering the districts of Barisal, Patuakhali, and Bhola.</w:t>
      </w:r>
    </w:p>
    <w:p w:rsidR="00395BFB" w:rsidRDefault="00280084">
      <w:pPr>
        <w:numPr>
          <w:ilvl w:val="0"/>
          <w:numId w:val="8"/>
        </w:numPr>
        <w:spacing w:line="276" w:lineRule="auto"/>
        <w:rPr>
          <w:sz w:val="20"/>
          <w:szCs w:val="20"/>
        </w:rPr>
      </w:pPr>
      <w:proofErr w:type="spellStart"/>
      <w:r>
        <w:rPr>
          <w:b/>
          <w:bCs/>
          <w:sz w:val="20"/>
          <w:szCs w:val="20"/>
        </w:rPr>
        <w:t>Chattogram</w:t>
      </w:r>
      <w:proofErr w:type="spellEnd"/>
      <w:r>
        <w:rPr>
          <w:b/>
          <w:bCs/>
          <w:sz w:val="20"/>
          <w:szCs w:val="20"/>
        </w:rPr>
        <w:t xml:space="preserve"> Division</w:t>
      </w:r>
      <w:r>
        <w:rPr>
          <w:sz w:val="20"/>
          <w:szCs w:val="20"/>
        </w:rPr>
        <w:t xml:space="preserve">: </w:t>
      </w:r>
      <w:r>
        <w:rPr>
          <w:sz w:val="20"/>
          <w:szCs w:val="20"/>
        </w:rPr>
        <w:t>Including Cox's Bazar district.</w:t>
      </w:r>
    </w:p>
    <w:p w:rsidR="00395BFB" w:rsidRDefault="00280084">
      <w:pPr>
        <w:numPr>
          <w:ilvl w:val="0"/>
          <w:numId w:val="8"/>
        </w:numPr>
        <w:spacing w:line="276" w:lineRule="auto"/>
        <w:rPr>
          <w:sz w:val="20"/>
          <w:szCs w:val="20"/>
        </w:rPr>
      </w:pPr>
      <w:r>
        <w:rPr>
          <w:b/>
          <w:bCs/>
          <w:sz w:val="20"/>
          <w:szCs w:val="20"/>
        </w:rPr>
        <w:t>Sylhet Division</w:t>
      </w:r>
      <w:r>
        <w:rPr>
          <w:sz w:val="20"/>
          <w:szCs w:val="20"/>
        </w:rPr>
        <w:t xml:space="preserve">: Covering the districts of Sylhet, </w:t>
      </w:r>
      <w:proofErr w:type="spellStart"/>
      <w:r>
        <w:rPr>
          <w:sz w:val="20"/>
          <w:szCs w:val="20"/>
        </w:rPr>
        <w:t>Moulvibazar</w:t>
      </w:r>
      <w:proofErr w:type="spellEnd"/>
      <w:r>
        <w:rPr>
          <w:sz w:val="20"/>
          <w:szCs w:val="20"/>
        </w:rPr>
        <w:t xml:space="preserve">, </w:t>
      </w:r>
      <w:proofErr w:type="spellStart"/>
      <w:r>
        <w:rPr>
          <w:sz w:val="20"/>
          <w:szCs w:val="20"/>
        </w:rPr>
        <w:t>Sunamganj</w:t>
      </w:r>
      <w:proofErr w:type="spellEnd"/>
      <w:r>
        <w:rPr>
          <w:sz w:val="20"/>
          <w:szCs w:val="20"/>
        </w:rPr>
        <w:t xml:space="preserve">, and </w:t>
      </w:r>
      <w:proofErr w:type="spellStart"/>
      <w:r>
        <w:rPr>
          <w:sz w:val="20"/>
          <w:szCs w:val="20"/>
        </w:rPr>
        <w:t>Habiganj</w:t>
      </w:r>
      <w:proofErr w:type="spellEnd"/>
      <w:r>
        <w:rPr>
          <w:sz w:val="20"/>
          <w:szCs w:val="20"/>
        </w:rPr>
        <w:t>.</w:t>
      </w:r>
    </w:p>
    <w:p w:rsidR="00395BFB" w:rsidRDefault="00280084">
      <w:pPr>
        <w:spacing w:before="240" w:after="240" w:line="276" w:lineRule="auto"/>
        <w:rPr>
          <w:sz w:val="20"/>
          <w:szCs w:val="20"/>
        </w:rPr>
      </w:pPr>
      <w:r>
        <w:rPr>
          <w:sz w:val="20"/>
          <w:szCs w:val="20"/>
        </w:rPr>
        <w:t xml:space="preserve">The project operates across 24 </w:t>
      </w:r>
      <w:proofErr w:type="spellStart"/>
      <w:r>
        <w:rPr>
          <w:sz w:val="20"/>
          <w:szCs w:val="20"/>
        </w:rPr>
        <w:t>upazilas</w:t>
      </w:r>
      <w:proofErr w:type="spellEnd"/>
      <w:r>
        <w:rPr>
          <w:sz w:val="20"/>
          <w:szCs w:val="20"/>
        </w:rPr>
        <w:t xml:space="preserve"> (sub-districts) in the listed districts. However, direct primary data collection is not require</w:t>
      </w:r>
      <w:r>
        <w:rPr>
          <w:sz w:val="20"/>
          <w:szCs w:val="20"/>
        </w:rPr>
        <w:t xml:space="preserve">d in all 24 </w:t>
      </w:r>
      <w:proofErr w:type="spellStart"/>
      <w:r>
        <w:rPr>
          <w:sz w:val="20"/>
          <w:szCs w:val="20"/>
        </w:rPr>
        <w:t>upazilas</w:t>
      </w:r>
      <w:proofErr w:type="spellEnd"/>
      <w:r>
        <w:rPr>
          <w:sz w:val="20"/>
          <w:szCs w:val="20"/>
        </w:rPr>
        <w:t xml:space="preserve">, provided the consultant proposes a technically justified sampling design covering all 8 project districts and clearly states the level of representativeness and limitations of inference. </w:t>
      </w:r>
    </w:p>
    <w:tbl>
      <w:tblPr>
        <w:tblStyle w:val="afa"/>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985"/>
        <w:gridCol w:w="3825"/>
      </w:tblGrid>
      <w:tr w:rsidR="00395BFB">
        <w:trPr>
          <w:trHeight w:val="450"/>
        </w:trPr>
        <w:tc>
          <w:tcPr>
            <w:tcW w:w="2220" w:type="dxa"/>
            <w:shd w:val="clear" w:color="auto" w:fill="50505F"/>
            <w:tcMar>
              <w:top w:w="100" w:type="dxa"/>
              <w:left w:w="100" w:type="dxa"/>
              <w:bottom w:w="100" w:type="dxa"/>
              <w:right w:w="100" w:type="dxa"/>
            </w:tcMar>
          </w:tcPr>
          <w:p w:rsidR="00395BFB" w:rsidRDefault="00280084">
            <w:pPr>
              <w:widowControl w:val="0"/>
              <w:jc w:val="center"/>
              <w:rPr>
                <w:rFonts w:ascii="Roboto" w:eastAsia="Roboto" w:hAnsi="Roboto" w:cs="Roboto"/>
                <w:b/>
                <w:bCs/>
                <w:color w:val="FFFFFF"/>
                <w:sz w:val="20"/>
                <w:szCs w:val="20"/>
              </w:rPr>
            </w:pPr>
            <w:r>
              <w:rPr>
                <w:rFonts w:ascii="Roboto" w:eastAsia="Roboto" w:hAnsi="Roboto" w:cs="Roboto"/>
                <w:b/>
                <w:bCs/>
                <w:color w:val="FFFFFF"/>
                <w:sz w:val="20"/>
                <w:szCs w:val="20"/>
              </w:rPr>
              <w:t>Division</w:t>
            </w:r>
          </w:p>
        </w:tc>
        <w:tc>
          <w:tcPr>
            <w:tcW w:w="2985" w:type="dxa"/>
            <w:shd w:val="clear" w:color="auto" w:fill="50505F"/>
            <w:tcMar>
              <w:top w:w="100" w:type="dxa"/>
              <w:left w:w="100" w:type="dxa"/>
              <w:bottom w:w="100" w:type="dxa"/>
              <w:right w:w="100" w:type="dxa"/>
            </w:tcMar>
          </w:tcPr>
          <w:p w:rsidR="00395BFB" w:rsidRDefault="00280084">
            <w:pPr>
              <w:widowControl w:val="0"/>
              <w:jc w:val="center"/>
              <w:rPr>
                <w:rFonts w:ascii="Roboto" w:eastAsia="Roboto" w:hAnsi="Roboto" w:cs="Roboto"/>
                <w:b/>
                <w:bCs/>
                <w:color w:val="FFFFFF"/>
                <w:sz w:val="20"/>
                <w:szCs w:val="20"/>
              </w:rPr>
            </w:pPr>
            <w:r>
              <w:rPr>
                <w:rFonts w:ascii="Roboto" w:eastAsia="Roboto" w:hAnsi="Roboto" w:cs="Roboto"/>
                <w:b/>
                <w:bCs/>
                <w:color w:val="FFFFFF"/>
                <w:sz w:val="20"/>
                <w:szCs w:val="20"/>
              </w:rPr>
              <w:t>District</w:t>
            </w:r>
          </w:p>
        </w:tc>
        <w:tc>
          <w:tcPr>
            <w:tcW w:w="3825" w:type="dxa"/>
            <w:shd w:val="clear" w:color="auto" w:fill="50505F"/>
            <w:tcMar>
              <w:top w:w="100" w:type="dxa"/>
              <w:left w:w="100" w:type="dxa"/>
              <w:bottom w:w="100" w:type="dxa"/>
              <w:right w:w="100" w:type="dxa"/>
            </w:tcMar>
          </w:tcPr>
          <w:p w:rsidR="00395BFB" w:rsidRDefault="00280084">
            <w:pPr>
              <w:widowControl w:val="0"/>
              <w:jc w:val="center"/>
              <w:rPr>
                <w:rFonts w:ascii="Roboto" w:eastAsia="Roboto" w:hAnsi="Roboto" w:cs="Roboto"/>
                <w:b/>
                <w:bCs/>
                <w:color w:val="FFFFFF"/>
                <w:sz w:val="20"/>
                <w:szCs w:val="20"/>
              </w:rPr>
            </w:pPr>
            <w:proofErr w:type="spellStart"/>
            <w:r>
              <w:rPr>
                <w:rFonts w:ascii="Roboto" w:eastAsia="Roboto" w:hAnsi="Roboto" w:cs="Roboto"/>
                <w:b/>
                <w:bCs/>
                <w:color w:val="FFFFFF"/>
                <w:sz w:val="20"/>
                <w:szCs w:val="20"/>
              </w:rPr>
              <w:t>Upazila</w:t>
            </w:r>
            <w:proofErr w:type="spellEnd"/>
            <w:r>
              <w:rPr>
                <w:rFonts w:ascii="Roboto" w:eastAsia="Roboto" w:hAnsi="Roboto" w:cs="Roboto"/>
                <w:b/>
                <w:bCs/>
                <w:color w:val="FFFFFF"/>
                <w:sz w:val="20"/>
                <w:szCs w:val="20"/>
              </w:rPr>
              <w:t xml:space="preserve"> (total in project)</w:t>
            </w:r>
          </w:p>
          <w:p w:rsidR="00395BFB" w:rsidRDefault="00395BFB">
            <w:pPr>
              <w:widowControl w:val="0"/>
              <w:jc w:val="center"/>
              <w:rPr>
                <w:rFonts w:ascii="Roboto" w:eastAsia="Roboto" w:hAnsi="Roboto" w:cs="Roboto"/>
                <w:b/>
                <w:bCs/>
                <w:color w:val="FFFFFF"/>
                <w:sz w:val="20"/>
                <w:szCs w:val="20"/>
              </w:rPr>
            </w:pPr>
          </w:p>
        </w:tc>
      </w:tr>
      <w:tr w:rsidR="00395BFB">
        <w:trPr>
          <w:trHeight w:val="300"/>
        </w:trPr>
        <w:tc>
          <w:tcPr>
            <w:tcW w:w="2220"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proofErr w:type="spellStart"/>
            <w:r>
              <w:rPr>
                <w:rFonts w:ascii="Roboto" w:eastAsia="Roboto" w:hAnsi="Roboto" w:cs="Roboto"/>
                <w:sz w:val="20"/>
                <w:szCs w:val="20"/>
              </w:rPr>
              <w:t>Chattogram</w:t>
            </w:r>
            <w:proofErr w:type="spellEnd"/>
          </w:p>
        </w:tc>
        <w:tc>
          <w:tcPr>
            <w:tcW w:w="2985"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r>
              <w:rPr>
                <w:rFonts w:ascii="Roboto" w:eastAsia="Roboto" w:hAnsi="Roboto" w:cs="Roboto"/>
                <w:sz w:val="20"/>
                <w:szCs w:val="20"/>
              </w:rPr>
              <w:t>Cox's Bazar</w:t>
            </w:r>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r>
              <w:rPr>
                <w:rFonts w:ascii="Roboto" w:eastAsia="Roboto" w:hAnsi="Roboto" w:cs="Roboto"/>
                <w:sz w:val="20"/>
                <w:szCs w:val="20"/>
              </w:rPr>
              <w:t xml:space="preserve">Cox's Bazar </w:t>
            </w:r>
            <w:proofErr w:type="spellStart"/>
            <w:r>
              <w:rPr>
                <w:rFonts w:ascii="Roboto" w:eastAsia="Roboto" w:hAnsi="Roboto" w:cs="Roboto"/>
                <w:sz w:val="20"/>
                <w:szCs w:val="20"/>
              </w:rPr>
              <w:t>Sadar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Ramu</w:t>
            </w:r>
            <w:proofErr w:type="spellEnd"/>
            <w:r>
              <w:rPr>
                <w:rFonts w:ascii="Roboto" w:eastAsia="Roboto" w:hAnsi="Roboto" w:cs="Roboto"/>
                <w:sz w:val="20"/>
                <w:szCs w:val="20"/>
              </w:rPr>
              <w:t xml:space="preserve">, </w:t>
            </w:r>
            <w:proofErr w:type="spellStart"/>
            <w:r>
              <w:rPr>
                <w:rFonts w:ascii="Roboto" w:eastAsia="Roboto" w:hAnsi="Roboto" w:cs="Roboto"/>
                <w:sz w:val="20"/>
                <w:szCs w:val="20"/>
              </w:rPr>
              <w:t>Chakoria</w:t>
            </w:r>
            <w:proofErr w:type="spellEnd"/>
            <w:r>
              <w:rPr>
                <w:rFonts w:ascii="Roboto" w:eastAsia="Roboto" w:hAnsi="Roboto" w:cs="Roboto"/>
                <w:sz w:val="20"/>
                <w:szCs w:val="20"/>
              </w:rPr>
              <w:t xml:space="preserve">, </w:t>
            </w:r>
            <w:proofErr w:type="spellStart"/>
            <w:r>
              <w:rPr>
                <w:rFonts w:ascii="Roboto" w:eastAsia="Roboto" w:hAnsi="Roboto" w:cs="Roboto"/>
                <w:sz w:val="20"/>
                <w:szCs w:val="20"/>
              </w:rPr>
              <w:t>Ukhiya</w:t>
            </w:r>
            <w:proofErr w:type="spellEnd"/>
            <w:r>
              <w:rPr>
                <w:rFonts w:ascii="Roboto" w:eastAsia="Roboto" w:hAnsi="Roboto" w:cs="Roboto"/>
                <w:sz w:val="20"/>
                <w:szCs w:val="20"/>
              </w:rPr>
              <w:t xml:space="preserve">, </w:t>
            </w:r>
            <w:proofErr w:type="spellStart"/>
            <w:r>
              <w:rPr>
                <w:rFonts w:ascii="Roboto" w:eastAsia="Roboto" w:hAnsi="Roboto" w:cs="Roboto"/>
                <w:sz w:val="20"/>
                <w:szCs w:val="20"/>
              </w:rPr>
              <w:t>Pekua</w:t>
            </w:r>
            <w:proofErr w:type="spellEnd"/>
          </w:p>
        </w:tc>
      </w:tr>
      <w:tr w:rsidR="00395BFB">
        <w:trPr>
          <w:trHeight w:val="90"/>
        </w:trPr>
        <w:tc>
          <w:tcPr>
            <w:tcW w:w="2220" w:type="dxa"/>
            <w:vMerge w:val="restart"/>
          </w:tcPr>
          <w:p w:rsidR="00395BFB" w:rsidRDefault="00280084">
            <w:pPr>
              <w:jc w:val="both"/>
              <w:rPr>
                <w:rFonts w:ascii="Roboto" w:eastAsia="Roboto" w:hAnsi="Roboto" w:cs="Roboto"/>
                <w:sz w:val="20"/>
                <w:szCs w:val="20"/>
              </w:rPr>
            </w:pPr>
            <w:r>
              <w:rPr>
                <w:rFonts w:ascii="Oxygen" w:eastAsia="Oxygen" w:hAnsi="Oxygen" w:cs="Oxygen"/>
                <w:sz w:val="20"/>
                <w:szCs w:val="20"/>
              </w:rPr>
              <w:t>Sylhet</w:t>
            </w:r>
          </w:p>
        </w:tc>
        <w:tc>
          <w:tcPr>
            <w:tcW w:w="2985"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r>
              <w:rPr>
                <w:rFonts w:ascii="Roboto" w:eastAsia="Roboto" w:hAnsi="Roboto" w:cs="Roboto"/>
                <w:sz w:val="20"/>
                <w:szCs w:val="20"/>
              </w:rPr>
              <w:t>Sylhet</w:t>
            </w:r>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r>
              <w:rPr>
                <w:rFonts w:ascii="Roboto" w:eastAsia="Roboto" w:hAnsi="Roboto" w:cs="Roboto"/>
                <w:sz w:val="20"/>
                <w:szCs w:val="20"/>
              </w:rPr>
              <w:t xml:space="preserve">South </w:t>
            </w:r>
            <w:proofErr w:type="spellStart"/>
            <w:r>
              <w:rPr>
                <w:rFonts w:ascii="Roboto" w:eastAsia="Roboto" w:hAnsi="Roboto" w:cs="Roboto"/>
                <w:sz w:val="20"/>
                <w:szCs w:val="20"/>
              </w:rPr>
              <w:t>Surma</w:t>
            </w:r>
            <w:proofErr w:type="spellEnd"/>
            <w:r>
              <w:rPr>
                <w:rFonts w:ascii="Roboto" w:eastAsia="Roboto" w:hAnsi="Roboto" w:cs="Roboto"/>
                <w:sz w:val="20"/>
                <w:szCs w:val="20"/>
              </w:rPr>
              <w:t xml:space="preserve">, </w:t>
            </w:r>
            <w:proofErr w:type="spellStart"/>
            <w:r>
              <w:rPr>
                <w:rFonts w:ascii="Roboto" w:eastAsia="Roboto" w:hAnsi="Roboto" w:cs="Roboto"/>
                <w:sz w:val="20"/>
                <w:szCs w:val="20"/>
              </w:rPr>
              <w:t>Fenchugonj</w:t>
            </w:r>
            <w:proofErr w:type="spellEnd"/>
          </w:p>
        </w:tc>
      </w:tr>
      <w:tr w:rsidR="00395BFB">
        <w:tc>
          <w:tcPr>
            <w:tcW w:w="2220" w:type="dxa"/>
            <w:vMerge/>
          </w:tcPr>
          <w:p w:rsidR="00395BFB" w:rsidRDefault="00395BFB">
            <w:pPr>
              <w:widowControl w:val="0"/>
              <w:pBdr>
                <w:top w:val="nil"/>
                <w:left w:val="nil"/>
                <w:bottom w:val="nil"/>
                <w:right w:val="nil"/>
                <w:between w:val="nil"/>
              </w:pBdr>
              <w:spacing w:line="276" w:lineRule="auto"/>
              <w:rPr>
                <w:rFonts w:ascii="Roboto" w:eastAsia="Roboto" w:hAnsi="Roboto" w:cs="Roboto"/>
                <w:sz w:val="20"/>
                <w:szCs w:val="20"/>
              </w:rPr>
            </w:pPr>
          </w:p>
        </w:tc>
        <w:tc>
          <w:tcPr>
            <w:tcW w:w="2985"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proofErr w:type="spellStart"/>
            <w:r>
              <w:rPr>
                <w:rFonts w:ascii="Roboto" w:eastAsia="Roboto" w:hAnsi="Roboto" w:cs="Roboto"/>
                <w:sz w:val="20"/>
                <w:szCs w:val="20"/>
              </w:rPr>
              <w:t>Moulvibazar</w:t>
            </w:r>
            <w:proofErr w:type="spellEnd"/>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proofErr w:type="spellStart"/>
            <w:r>
              <w:rPr>
                <w:rFonts w:ascii="Roboto" w:eastAsia="Roboto" w:hAnsi="Roboto" w:cs="Roboto"/>
                <w:sz w:val="20"/>
                <w:szCs w:val="20"/>
              </w:rPr>
              <w:t>Moulvibazar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Sadar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Kulaura</w:t>
            </w:r>
            <w:proofErr w:type="spellEnd"/>
            <w:r>
              <w:rPr>
                <w:rFonts w:ascii="Roboto" w:eastAsia="Roboto" w:hAnsi="Roboto" w:cs="Roboto"/>
                <w:sz w:val="20"/>
                <w:szCs w:val="20"/>
              </w:rPr>
              <w:t xml:space="preserve">, </w:t>
            </w:r>
            <w:proofErr w:type="spellStart"/>
            <w:r>
              <w:rPr>
                <w:rFonts w:ascii="Roboto" w:eastAsia="Roboto" w:hAnsi="Roboto" w:cs="Roboto"/>
                <w:sz w:val="20"/>
                <w:szCs w:val="20"/>
              </w:rPr>
              <w:t>Sreemongol</w:t>
            </w:r>
            <w:proofErr w:type="spellEnd"/>
          </w:p>
        </w:tc>
      </w:tr>
      <w:tr w:rsidR="00395BFB">
        <w:trPr>
          <w:trHeight w:val="105"/>
        </w:trPr>
        <w:tc>
          <w:tcPr>
            <w:tcW w:w="2220" w:type="dxa"/>
            <w:vMerge/>
          </w:tcPr>
          <w:p w:rsidR="00395BFB" w:rsidRDefault="00395BFB">
            <w:pPr>
              <w:widowControl w:val="0"/>
              <w:pBdr>
                <w:top w:val="nil"/>
                <w:left w:val="nil"/>
                <w:bottom w:val="nil"/>
                <w:right w:val="nil"/>
                <w:between w:val="nil"/>
              </w:pBdr>
              <w:spacing w:line="276" w:lineRule="auto"/>
              <w:rPr>
                <w:rFonts w:ascii="Roboto" w:eastAsia="Roboto" w:hAnsi="Roboto" w:cs="Roboto"/>
                <w:sz w:val="20"/>
                <w:szCs w:val="20"/>
              </w:rPr>
            </w:pPr>
          </w:p>
        </w:tc>
        <w:tc>
          <w:tcPr>
            <w:tcW w:w="2985"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proofErr w:type="spellStart"/>
            <w:r>
              <w:rPr>
                <w:rFonts w:ascii="Roboto" w:eastAsia="Roboto" w:hAnsi="Roboto" w:cs="Roboto"/>
                <w:sz w:val="20"/>
                <w:szCs w:val="20"/>
              </w:rPr>
              <w:t>Sunamganj</w:t>
            </w:r>
            <w:proofErr w:type="spellEnd"/>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proofErr w:type="spellStart"/>
            <w:r>
              <w:rPr>
                <w:rFonts w:ascii="Roboto" w:eastAsia="Roboto" w:hAnsi="Roboto" w:cs="Roboto"/>
                <w:sz w:val="20"/>
                <w:szCs w:val="20"/>
              </w:rPr>
              <w:t>Sunamganj</w:t>
            </w:r>
            <w:proofErr w:type="spellEnd"/>
            <w:r>
              <w:rPr>
                <w:rFonts w:ascii="Roboto" w:eastAsia="Roboto" w:hAnsi="Roboto" w:cs="Roboto"/>
                <w:sz w:val="20"/>
                <w:szCs w:val="20"/>
              </w:rPr>
              <w:t xml:space="preserve"> </w:t>
            </w:r>
            <w:proofErr w:type="spellStart"/>
            <w:r>
              <w:rPr>
                <w:rFonts w:ascii="Roboto" w:eastAsia="Roboto" w:hAnsi="Roboto" w:cs="Roboto"/>
                <w:sz w:val="20"/>
                <w:szCs w:val="20"/>
              </w:rPr>
              <w:t>Sadar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Shantigonj</w:t>
            </w:r>
            <w:proofErr w:type="spellEnd"/>
          </w:p>
        </w:tc>
      </w:tr>
      <w:tr w:rsidR="00395BFB">
        <w:tc>
          <w:tcPr>
            <w:tcW w:w="2220" w:type="dxa"/>
            <w:vMerge/>
          </w:tcPr>
          <w:p w:rsidR="00395BFB" w:rsidRDefault="00395BFB">
            <w:pPr>
              <w:widowControl w:val="0"/>
              <w:pBdr>
                <w:top w:val="nil"/>
                <w:left w:val="nil"/>
                <w:bottom w:val="nil"/>
                <w:right w:val="nil"/>
                <w:between w:val="nil"/>
              </w:pBdr>
              <w:spacing w:line="276" w:lineRule="auto"/>
              <w:rPr>
                <w:rFonts w:ascii="Roboto" w:eastAsia="Roboto" w:hAnsi="Roboto" w:cs="Roboto"/>
                <w:sz w:val="20"/>
                <w:szCs w:val="20"/>
              </w:rPr>
            </w:pPr>
          </w:p>
        </w:tc>
        <w:tc>
          <w:tcPr>
            <w:tcW w:w="2985"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proofErr w:type="spellStart"/>
            <w:r>
              <w:rPr>
                <w:rFonts w:ascii="Roboto" w:eastAsia="Roboto" w:hAnsi="Roboto" w:cs="Roboto"/>
                <w:sz w:val="20"/>
                <w:szCs w:val="20"/>
              </w:rPr>
              <w:t>Habiganj</w:t>
            </w:r>
            <w:proofErr w:type="spellEnd"/>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proofErr w:type="spellStart"/>
            <w:r>
              <w:rPr>
                <w:rFonts w:ascii="Roboto" w:eastAsia="Roboto" w:hAnsi="Roboto" w:cs="Roboto"/>
                <w:sz w:val="20"/>
                <w:szCs w:val="20"/>
              </w:rPr>
              <w:t>Baniachang</w:t>
            </w:r>
            <w:proofErr w:type="spellEnd"/>
            <w:r>
              <w:rPr>
                <w:rFonts w:ascii="Roboto" w:eastAsia="Roboto" w:hAnsi="Roboto" w:cs="Roboto"/>
                <w:sz w:val="20"/>
                <w:szCs w:val="20"/>
              </w:rPr>
              <w:t xml:space="preserve">, </w:t>
            </w:r>
            <w:proofErr w:type="spellStart"/>
            <w:r>
              <w:rPr>
                <w:rFonts w:ascii="Roboto" w:eastAsia="Roboto" w:hAnsi="Roboto" w:cs="Roboto"/>
                <w:sz w:val="20"/>
                <w:szCs w:val="20"/>
              </w:rPr>
              <w:t>Chunarughat</w:t>
            </w:r>
            <w:proofErr w:type="spellEnd"/>
            <w:r>
              <w:rPr>
                <w:rFonts w:ascii="Roboto" w:eastAsia="Roboto" w:hAnsi="Roboto" w:cs="Roboto"/>
                <w:sz w:val="20"/>
                <w:szCs w:val="20"/>
              </w:rPr>
              <w:t xml:space="preserve">, </w:t>
            </w:r>
            <w:proofErr w:type="spellStart"/>
            <w:r>
              <w:rPr>
                <w:rFonts w:ascii="Roboto" w:eastAsia="Roboto" w:hAnsi="Roboto" w:cs="Roboto"/>
                <w:sz w:val="20"/>
                <w:szCs w:val="20"/>
              </w:rPr>
              <w:t>Hobigonj</w:t>
            </w:r>
            <w:proofErr w:type="spellEnd"/>
            <w:r>
              <w:rPr>
                <w:rFonts w:ascii="Roboto" w:eastAsia="Roboto" w:hAnsi="Roboto" w:cs="Roboto"/>
                <w:sz w:val="20"/>
                <w:szCs w:val="20"/>
              </w:rPr>
              <w:t xml:space="preserve"> </w:t>
            </w:r>
            <w:proofErr w:type="spellStart"/>
            <w:r>
              <w:rPr>
                <w:rFonts w:ascii="Roboto" w:eastAsia="Roboto" w:hAnsi="Roboto" w:cs="Roboto"/>
                <w:sz w:val="20"/>
                <w:szCs w:val="20"/>
              </w:rPr>
              <w:t>Sadar</w:t>
            </w:r>
            <w:proofErr w:type="spellEnd"/>
          </w:p>
        </w:tc>
      </w:tr>
      <w:tr w:rsidR="00395BFB">
        <w:trPr>
          <w:trHeight w:val="400"/>
        </w:trPr>
        <w:tc>
          <w:tcPr>
            <w:tcW w:w="2220" w:type="dxa"/>
            <w:vMerge w:val="restart"/>
            <w:shd w:val="clear" w:color="auto" w:fill="auto"/>
            <w:tcMar>
              <w:top w:w="100" w:type="dxa"/>
              <w:left w:w="100" w:type="dxa"/>
              <w:bottom w:w="100" w:type="dxa"/>
              <w:right w:w="100" w:type="dxa"/>
            </w:tcMar>
          </w:tcPr>
          <w:p w:rsidR="00395BFB" w:rsidRDefault="00280084">
            <w:pPr>
              <w:jc w:val="both"/>
              <w:rPr>
                <w:rFonts w:ascii="Roboto" w:eastAsia="Roboto" w:hAnsi="Roboto" w:cs="Roboto"/>
                <w:sz w:val="20"/>
                <w:szCs w:val="20"/>
              </w:rPr>
            </w:pPr>
            <w:proofErr w:type="spellStart"/>
            <w:r>
              <w:rPr>
                <w:rFonts w:ascii="Oxygen" w:eastAsia="Oxygen" w:hAnsi="Oxygen" w:cs="Oxygen"/>
                <w:sz w:val="20"/>
                <w:szCs w:val="20"/>
              </w:rPr>
              <w:t>Barishal</w:t>
            </w:r>
            <w:proofErr w:type="spellEnd"/>
          </w:p>
        </w:tc>
        <w:tc>
          <w:tcPr>
            <w:tcW w:w="2985"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r>
              <w:rPr>
                <w:rFonts w:ascii="Roboto" w:eastAsia="Roboto" w:hAnsi="Roboto" w:cs="Roboto"/>
                <w:sz w:val="20"/>
                <w:szCs w:val="20"/>
              </w:rPr>
              <w:t>Patuakhali</w:t>
            </w:r>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r>
              <w:rPr>
                <w:rFonts w:ascii="Roboto" w:eastAsia="Roboto" w:hAnsi="Roboto" w:cs="Roboto"/>
                <w:sz w:val="20"/>
                <w:szCs w:val="20"/>
              </w:rPr>
              <w:t xml:space="preserve">Gola </w:t>
            </w:r>
            <w:proofErr w:type="spellStart"/>
            <w:r>
              <w:rPr>
                <w:rFonts w:ascii="Roboto" w:eastAsia="Roboto" w:hAnsi="Roboto" w:cs="Roboto"/>
                <w:sz w:val="20"/>
                <w:szCs w:val="20"/>
              </w:rPr>
              <w:t>Chipa</w:t>
            </w:r>
            <w:proofErr w:type="spellEnd"/>
            <w:r>
              <w:rPr>
                <w:rFonts w:ascii="Roboto" w:eastAsia="Roboto" w:hAnsi="Roboto" w:cs="Roboto"/>
                <w:sz w:val="20"/>
                <w:szCs w:val="20"/>
              </w:rPr>
              <w:t xml:space="preserve">, </w:t>
            </w:r>
            <w:proofErr w:type="spellStart"/>
            <w:r>
              <w:rPr>
                <w:rFonts w:ascii="Roboto" w:eastAsia="Roboto" w:hAnsi="Roboto" w:cs="Roboto"/>
                <w:sz w:val="20"/>
                <w:szCs w:val="20"/>
              </w:rPr>
              <w:t>Kolapara</w:t>
            </w:r>
            <w:proofErr w:type="spellEnd"/>
            <w:r>
              <w:rPr>
                <w:rFonts w:ascii="Roboto" w:eastAsia="Roboto" w:hAnsi="Roboto" w:cs="Roboto"/>
                <w:sz w:val="20"/>
                <w:szCs w:val="20"/>
              </w:rPr>
              <w:t xml:space="preserve">, Patuakhali </w:t>
            </w:r>
            <w:proofErr w:type="spellStart"/>
            <w:r>
              <w:rPr>
                <w:rFonts w:ascii="Roboto" w:eastAsia="Roboto" w:hAnsi="Roboto" w:cs="Roboto"/>
                <w:sz w:val="20"/>
                <w:szCs w:val="20"/>
              </w:rPr>
              <w:t>Sadar</w:t>
            </w:r>
            <w:proofErr w:type="spellEnd"/>
          </w:p>
        </w:tc>
      </w:tr>
      <w:tr w:rsidR="00395BFB">
        <w:trPr>
          <w:trHeight w:val="400"/>
        </w:trPr>
        <w:tc>
          <w:tcPr>
            <w:tcW w:w="2220" w:type="dxa"/>
            <w:vMerge/>
            <w:shd w:val="clear" w:color="auto" w:fill="auto"/>
            <w:tcMar>
              <w:top w:w="100" w:type="dxa"/>
              <w:left w:w="100" w:type="dxa"/>
              <w:bottom w:w="100" w:type="dxa"/>
              <w:right w:w="100" w:type="dxa"/>
            </w:tcMar>
          </w:tcPr>
          <w:p w:rsidR="00395BFB" w:rsidRDefault="00395BFB">
            <w:pPr>
              <w:widowControl w:val="0"/>
              <w:pBdr>
                <w:top w:val="nil"/>
                <w:left w:val="nil"/>
                <w:bottom w:val="nil"/>
                <w:right w:val="nil"/>
                <w:between w:val="nil"/>
              </w:pBdr>
              <w:spacing w:line="276" w:lineRule="auto"/>
              <w:rPr>
                <w:rFonts w:ascii="Roboto" w:eastAsia="Roboto" w:hAnsi="Roboto" w:cs="Roboto"/>
                <w:sz w:val="20"/>
                <w:szCs w:val="20"/>
              </w:rPr>
            </w:pPr>
          </w:p>
        </w:tc>
        <w:tc>
          <w:tcPr>
            <w:tcW w:w="2985" w:type="dxa"/>
            <w:shd w:val="clear" w:color="auto" w:fill="auto"/>
            <w:tcMar>
              <w:top w:w="100" w:type="dxa"/>
              <w:left w:w="100" w:type="dxa"/>
              <w:bottom w:w="100" w:type="dxa"/>
              <w:right w:w="100" w:type="dxa"/>
            </w:tcMar>
          </w:tcPr>
          <w:p w:rsidR="00395BFB" w:rsidRDefault="00280084">
            <w:pPr>
              <w:widowControl w:val="0"/>
              <w:rPr>
                <w:rFonts w:ascii="Roboto" w:eastAsia="Roboto" w:hAnsi="Roboto" w:cs="Roboto"/>
                <w:sz w:val="20"/>
                <w:szCs w:val="20"/>
              </w:rPr>
            </w:pPr>
            <w:r>
              <w:rPr>
                <w:rFonts w:ascii="Roboto" w:eastAsia="Roboto" w:hAnsi="Roboto" w:cs="Roboto"/>
                <w:sz w:val="20"/>
                <w:szCs w:val="20"/>
              </w:rPr>
              <w:t>Bhola</w:t>
            </w:r>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r>
              <w:rPr>
                <w:rFonts w:ascii="Roboto" w:eastAsia="Roboto" w:hAnsi="Roboto" w:cs="Roboto"/>
                <w:sz w:val="20"/>
                <w:szCs w:val="20"/>
              </w:rPr>
              <w:t xml:space="preserve">Bhola </w:t>
            </w:r>
            <w:proofErr w:type="spellStart"/>
            <w:r>
              <w:rPr>
                <w:rFonts w:ascii="Roboto" w:eastAsia="Roboto" w:hAnsi="Roboto" w:cs="Roboto"/>
                <w:sz w:val="20"/>
                <w:szCs w:val="20"/>
              </w:rPr>
              <w:t>Sadar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Borhan</w:t>
            </w:r>
            <w:proofErr w:type="spellEnd"/>
            <w:r>
              <w:rPr>
                <w:rFonts w:ascii="Roboto" w:eastAsia="Roboto" w:hAnsi="Roboto" w:cs="Roboto"/>
                <w:sz w:val="20"/>
                <w:szCs w:val="20"/>
              </w:rPr>
              <w:t xml:space="preserve"> Uddin, Char Fashion</w:t>
            </w:r>
          </w:p>
        </w:tc>
      </w:tr>
      <w:tr w:rsidR="00395BFB">
        <w:trPr>
          <w:trHeight w:val="400"/>
        </w:trPr>
        <w:tc>
          <w:tcPr>
            <w:tcW w:w="2220" w:type="dxa"/>
            <w:vMerge/>
            <w:shd w:val="clear" w:color="auto" w:fill="auto"/>
            <w:tcMar>
              <w:top w:w="100" w:type="dxa"/>
              <w:left w:w="100" w:type="dxa"/>
              <w:bottom w:w="100" w:type="dxa"/>
              <w:right w:w="100" w:type="dxa"/>
            </w:tcMar>
          </w:tcPr>
          <w:p w:rsidR="00395BFB" w:rsidRDefault="00395BFB">
            <w:pPr>
              <w:widowControl w:val="0"/>
              <w:pBdr>
                <w:top w:val="nil"/>
                <w:left w:val="nil"/>
                <w:bottom w:val="nil"/>
                <w:right w:val="nil"/>
                <w:between w:val="nil"/>
              </w:pBdr>
              <w:spacing w:line="276" w:lineRule="auto"/>
              <w:rPr>
                <w:rFonts w:ascii="Roboto" w:eastAsia="Roboto" w:hAnsi="Roboto" w:cs="Roboto"/>
                <w:sz w:val="20"/>
                <w:szCs w:val="20"/>
              </w:rPr>
            </w:pPr>
          </w:p>
        </w:tc>
        <w:tc>
          <w:tcPr>
            <w:tcW w:w="2985" w:type="dxa"/>
            <w:shd w:val="clear" w:color="auto" w:fill="auto"/>
            <w:tcMar>
              <w:top w:w="100" w:type="dxa"/>
              <w:left w:w="100" w:type="dxa"/>
              <w:bottom w:w="100" w:type="dxa"/>
              <w:right w:w="100" w:type="dxa"/>
            </w:tcMar>
          </w:tcPr>
          <w:p w:rsidR="00395BFB" w:rsidRDefault="00280084">
            <w:pPr>
              <w:jc w:val="both"/>
              <w:rPr>
                <w:rFonts w:ascii="Roboto" w:eastAsia="Roboto" w:hAnsi="Roboto" w:cs="Roboto"/>
                <w:sz w:val="20"/>
                <w:szCs w:val="20"/>
              </w:rPr>
            </w:pPr>
            <w:proofErr w:type="spellStart"/>
            <w:r>
              <w:rPr>
                <w:rFonts w:ascii="Oxygen" w:eastAsia="Oxygen" w:hAnsi="Oxygen" w:cs="Oxygen"/>
                <w:sz w:val="20"/>
                <w:szCs w:val="20"/>
              </w:rPr>
              <w:t>Barishal</w:t>
            </w:r>
            <w:proofErr w:type="spellEnd"/>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95BFB" w:rsidRDefault="00280084">
            <w:pPr>
              <w:jc w:val="center"/>
              <w:rPr>
                <w:rFonts w:ascii="Roboto" w:eastAsia="Roboto" w:hAnsi="Roboto" w:cs="Roboto"/>
                <w:sz w:val="20"/>
                <w:szCs w:val="20"/>
              </w:rPr>
            </w:pPr>
            <w:r>
              <w:rPr>
                <w:rFonts w:ascii="Roboto" w:eastAsia="Roboto" w:hAnsi="Roboto" w:cs="Roboto"/>
                <w:sz w:val="20"/>
                <w:szCs w:val="20"/>
              </w:rPr>
              <w:t xml:space="preserve">Barisal </w:t>
            </w:r>
            <w:proofErr w:type="spellStart"/>
            <w:r>
              <w:rPr>
                <w:rFonts w:ascii="Roboto" w:eastAsia="Roboto" w:hAnsi="Roboto" w:cs="Roboto"/>
                <w:sz w:val="20"/>
                <w:szCs w:val="20"/>
              </w:rPr>
              <w:t>Sadar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Bakergonj</w:t>
            </w:r>
            <w:proofErr w:type="spellEnd"/>
            <w:r>
              <w:rPr>
                <w:rFonts w:ascii="Roboto" w:eastAsia="Roboto" w:hAnsi="Roboto" w:cs="Roboto"/>
                <w:sz w:val="20"/>
                <w:szCs w:val="20"/>
              </w:rPr>
              <w:t xml:space="preserve">, and </w:t>
            </w:r>
            <w:proofErr w:type="spellStart"/>
            <w:r>
              <w:rPr>
                <w:rFonts w:ascii="Roboto" w:eastAsia="Roboto" w:hAnsi="Roboto" w:cs="Roboto"/>
                <w:sz w:val="20"/>
                <w:szCs w:val="20"/>
              </w:rPr>
              <w:t>Babugonj</w:t>
            </w:r>
            <w:proofErr w:type="spellEnd"/>
          </w:p>
        </w:tc>
      </w:tr>
    </w:tbl>
    <w:p w:rsidR="00395BFB" w:rsidRDefault="00280084">
      <w:pPr>
        <w:widowControl w:val="0"/>
        <w:numPr>
          <w:ilvl w:val="0"/>
          <w:numId w:val="13"/>
        </w:numPr>
        <w:tabs>
          <w:tab w:val="left" w:pos="450"/>
        </w:tabs>
        <w:spacing w:before="200" w:after="120" w:line="276" w:lineRule="auto"/>
        <w:ind w:left="270" w:hanging="270"/>
        <w:jc w:val="both"/>
        <w:rPr>
          <w:b/>
          <w:bCs/>
          <w:color w:val="FF5F4A"/>
          <w:sz w:val="20"/>
          <w:szCs w:val="20"/>
          <w:highlight w:val="white"/>
        </w:rPr>
      </w:pPr>
      <w:r>
        <w:rPr>
          <w:b/>
          <w:bCs/>
          <w:color w:val="EA4D39"/>
          <w:sz w:val="20"/>
          <w:szCs w:val="20"/>
          <w:highlight w:val="white"/>
        </w:rPr>
        <w:t>Methodology</w:t>
      </w:r>
    </w:p>
    <w:p w:rsidR="00395BFB" w:rsidRDefault="00280084">
      <w:pPr>
        <w:widowControl w:val="0"/>
        <w:spacing w:before="240" w:after="240" w:line="276" w:lineRule="auto"/>
        <w:jc w:val="both"/>
        <w:rPr>
          <w:sz w:val="20"/>
          <w:szCs w:val="20"/>
        </w:rPr>
      </w:pPr>
      <w:r>
        <w:rPr>
          <w:sz w:val="20"/>
          <w:szCs w:val="20"/>
        </w:rPr>
        <w:t xml:space="preserve">The consultant shall propose a </w:t>
      </w:r>
      <w:r>
        <w:rPr>
          <w:b/>
          <w:bCs/>
          <w:sz w:val="20"/>
          <w:szCs w:val="20"/>
        </w:rPr>
        <w:t>medium-scale, mixed-methods study design</w:t>
      </w:r>
      <w:r>
        <w:rPr>
          <w:sz w:val="20"/>
          <w:szCs w:val="20"/>
        </w:rPr>
        <w:t xml:space="preserve"> that is technically robust, operationally feasible within the May–June implementation window, and proportionate to the intended use of findings for program learning, adaptive management, and strategic operational decision-making. The methodological approa</w:t>
      </w:r>
      <w:r>
        <w:rPr>
          <w:sz w:val="20"/>
          <w:szCs w:val="20"/>
        </w:rPr>
        <w:t xml:space="preserve">ch shall be designed as an </w:t>
      </w:r>
      <w:r>
        <w:rPr>
          <w:b/>
          <w:bCs/>
          <w:sz w:val="20"/>
          <w:szCs w:val="20"/>
        </w:rPr>
        <w:t>integrated intermediate outcome and thematic learning assessment</w:t>
      </w:r>
      <w:r>
        <w:rPr>
          <w:sz w:val="20"/>
          <w:szCs w:val="20"/>
        </w:rPr>
        <w:t xml:space="preserve">, rather than as a baseline study, </w:t>
      </w:r>
      <w:proofErr w:type="spellStart"/>
      <w:r>
        <w:rPr>
          <w:sz w:val="20"/>
          <w:szCs w:val="20"/>
        </w:rPr>
        <w:t>endline</w:t>
      </w:r>
      <w:proofErr w:type="spellEnd"/>
      <w:r>
        <w:rPr>
          <w:sz w:val="20"/>
          <w:szCs w:val="20"/>
        </w:rPr>
        <w:t xml:space="preserve"> study, or full causal impact evaluation. It shall combine quantitative and qualitative inquiry, routine monitoring and adm</w:t>
      </w:r>
      <w:r>
        <w:rPr>
          <w:sz w:val="20"/>
          <w:szCs w:val="20"/>
        </w:rPr>
        <w:t>inistrative data review, market and service-level assessment, and targeted analytical modules in order to generate credible evidence across the selected outcome and intermediate outcome areas under Outcomes 6, 7, and 8, as well as the priority thematic mod</w:t>
      </w:r>
      <w:r>
        <w:rPr>
          <w:sz w:val="20"/>
          <w:szCs w:val="20"/>
        </w:rPr>
        <w:t>ules defined in this TOR.</w:t>
      </w:r>
    </w:p>
    <w:p w:rsidR="00395BFB" w:rsidRDefault="00280084">
      <w:pPr>
        <w:pStyle w:val="Heading3"/>
        <w:keepNext w:val="0"/>
        <w:keepLines w:val="0"/>
        <w:widowControl w:val="0"/>
        <w:spacing w:line="276" w:lineRule="auto"/>
        <w:jc w:val="both"/>
        <w:rPr>
          <w:sz w:val="22"/>
          <w:szCs w:val="22"/>
        </w:rPr>
      </w:pPr>
      <w:bookmarkStart w:id="8" w:name="_heading=h.heej8ic5memf" w:colFirst="0" w:colLast="0"/>
      <w:bookmarkEnd w:id="8"/>
      <w:r>
        <w:rPr>
          <w:sz w:val="22"/>
          <w:szCs w:val="22"/>
        </w:rPr>
        <w:t>1. Overall Study Design</w:t>
      </w:r>
    </w:p>
    <w:p w:rsidR="00395BFB" w:rsidRDefault="00280084">
      <w:pPr>
        <w:widowControl w:val="0"/>
        <w:spacing w:before="240" w:after="240" w:line="276" w:lineRule="auto"/>
        <w:jc w:val="both"/>
        <w:rPr>
          <w:sz w:val="20"/>
          <w:szCs w:val="20"/>
        </w:rPr>
      </w:pPr>
      <w:r>
        <w:rPr>
          <w:sz w:val="20"/>
          <w:szCs w:val="20"/>
        </w:rPr>
        <w:t xml:space="preserve">The study shall adopt an </w:t>
      </w:r>
      <w:r>
        <w:rPr>
          <w:b/>
          <w:bCs/>
          <w:sz w:val="20"/>
          <w:szCs w:val="20"/>
        </w:rPr>
        <w:t>integrated convergent mixed-methods design</w:t>
      </w:r>
      <w:r>
        <w:rPr>
          <w:sz w:val="20"/>
          <w:szCs w:val="20"/>
        </w:rPr>
        <w:t xml:space="preserve"> in which quantitative and qualitative data are collected and analyzed in a complementary manner and then triangulated to generate coherent findings. Quantitative components shall be used to assess progress against selected indicators, compare results with</w:t>
      </w:r>
      <w:r>
        <w:rPr>
          <w:sz w:val="20"/>
          <w:szCs w:val="20"/>
        </w:rPr>
        <w:t xml:space="preserve"> the approved baseline survey where methodologically valid, and examine key patterns across households, respondents, markets, and Nutrition Entrepreneurs. Qualitative components shall be used to explain observed changes, explore implementation dynamics, in</w:t>
      </w:r>
      <w:r>
        <w:rPr>
          <w:sz w:val="20"/>
          <w:szCs w:val="20"/>
        </w:rPr>
        <w:t>terpret pathway performance, and identify the enabling and constraining factors influencing adoption, service use, market functionality, and sustainability. Routine monitoring and administrative data shall be used to supplement primary data, improve interp</w:t>
      </w:r>
      <w:r>
        <w:rPr>
          <w:sz w:val="20"/>
          <w:szCs w:val="20"/>
        </w:rPr>
        <w:t>retation, and strengthen the practical value of findings.</w:t>
      </w:r>
    </w:p>
    <w:p w:rsidR="00395BFB" w:rsidRDefault="00280084">
      <w:pPr>
        <w:widowControl w:val="0"/>
        <w:spacing w:before="240" w:after="240" w:line="276" w:lineRule="auto"/>
        <w:jc w:val="both"/>
        <w:rPr>
          <w:sz w:val="20"/>
          <w:szCs w:val="20"/>
        </w:rPr>
      </w:pPr>
      <w:r>
        <w:rPr>
          <w:sz w:val="20"/>
          <w:szCs w:val="20"/>
        </w:rPr>
        <w:t>The methodology shall be explicitly structured around the three objectives of the assignment:</w:t>
      </w:r>
    </w:p>
    <w:p w:rsidR="00395BFB" w:rsidRDefault="00280084">
      <w:pPr>
        <w:widowControl w:val="0"/>
        <w:numPr>
          <w:ilvl w:val="0"/>
          <w:numId w:val="18"/>
        </w:numPr>
        <w:spacing w:before="240" w:line="276" w:lineRule="auto"/>
        <w:rPr>
          <w:sz w:val="20"/>
          <w:szCs w:val="20"/>
        </w:rPr>
      </w:pPr>
      <w:r>
        <w:rPr>
          <w:sz w:val="20"/>
          <w:szCs w:val="20"/>
        </w:rPr>
        <w:t>outcome and intermediate outcome assessment;</w:t>
      </w:r>
    </w:p>
    <w:p w:rsidR="00395BFB" w:rsidRDefault="00280084">
      <w:pPr>
        <w:widowControl w:val="0"/>
        <w:numPr>
          <w:ilvl w:val="0"/>
          <w:numId w:val="18"/>
        </w:numPr>
        <w:spacing w:line="276" w:lineRule="auto"/>
        <w:rPr>
          <w:sz w:val="20"/>
          <w:szCs w:val="20"/>
        </w:rPr>
      </w:pPr>
      <w:r>
        <w:rPr>
          <w:sz w:val="20"/>
          <w:szCs w:val="20"/>
        </w:rPr>
        <w:t>thematic evidence generation across priority analytical mod</w:t>
      </w:r>
      <w:r>
        <w:rPr>
          <w:sz w:val="20"/>
          <w:szCs w:val="20"/>
        </w:rPr>
        <w:t>ules; and</w:t>
      </w:r>
    </w:p>
    <w:p w:rsidR="00395BFB" w:rsidRDefault="00280084">
      <w:pPr>
        <w:widowControl w:val="0"/>
        <w:numPr>
          <w:ilvl w:val="0"/>
          <w:numId w:val="18"/>
        </w:numPr>
        <w:spacing w:after="240" w:line="276" w:lineRule="auto"/>
        <w:rPr>
          <w:sz w:val="20"/>
          <w:szCs w:val="20"/>
        </w:rPr>
      </w:pPr>
      <w:r>
        <w:rPr>
          <w:sz w:val="20"/>
          <w:szCs w:val="20"/>
        </w:rPr>
        <w:t>development of a Nutrition Entrepreneur graduation and tiering model.</w:t>
      </w:r>
    </w:p>
    <w:p w:rsidR="00395BFB" w:rsidRDefault="00280084">
      <w:pPr>
        <w:pStyle w:val="Heading3"/>
        <w:keepNext w:val="0"/>
        <w:keepLines w:val="0"/>
        <w:widowControl w:val="0"/>
        <w:spacing w:line="276" w:lineRule="auto"/>
        <w:jc w:val="both"/>
        <w:rPr>
          <w:sz w:val="22"/>
          <w:szCs w:val="22"/>
        </w:rPr>
      </w:pPr>
      <w:bookmarkStart w:id="9" w:name="_heading=h.r0gwp54xcthh" w:colFirst="0" w:colLast="0"/>
      <w:bookmarkEnd w:id="9"/>
      <w:r>
        <w:rPr>
          <w:sz w:val="22"/>
          <w:szCs w:val="22"/>
        </w:rPr>
        <w:t>2. Methodological Approach under Objective 1</w:t>
      </w:r>
    </w:p>
    <w:p w:rsidR="00395BFB" w:rsidRDefault="00280084">
      <w:pPr>
        <w:widowControl w:val="0"/>
        <w:spacing w:before="240" w:after="240" w:line="276" w:lineRule="auto"/>
        <w:jc w:val="both"/>
        <w:rPr>
          <w:sz w:val="20"/>
          <w:szCs w:val="20"/>
        </w:rPr>
      </w:pPr>
      <w:r>
        <w:rPr>
          <w:sz w:val="20"/>
          <w:szCs w:val="20"/>
        </w:rPr>
        <w:t>For Objective 1, the consultant shall assess progress against selected outcome and intermediate outcome indicators under Outcomes 6</w:t>
      </w:r>
      <w:r>
        <w:rPr>
          <w:sz w:val="20"/>
          <w:szCs w:val="20"/>
        </w:rPr>
        <w:t>, 7, and 8 using appropriate standard tools, validated question modules, and clearly defined measurement protocols. The assessment shall draw primarily on household- and respondent-level quantitative data, supported by qualitative inquiry and relevant rout</w:t>
      </w:r>
      <w:r>
        <w:rPr>
          <w:sz w:val="20"/>
          <w:szCs w:val="20"/>
        </w:rPr>
        <w:t xml:space="preserve">ine data review. The consultant shall align measurement as closely as possible with the </w:t>
      </w:r>
      <w:r>
        <w:rPr>
          <w:b/>
          <w:bCs/>
          <w:sz w:val="20"/>
          <w:szCs w:val="20"/>
        </w:rPr>
        <w:t>approved baseline survey</w:t>
      </w:r>
      <w:r>
        <w:rPr>
          <w:sz w:val="20"/>
          <w:szCs w:val="20"/>
        </w:rPr>
        <w:t xml:space="preserve"> so that comparison can be made where definitions, respondent categories, question wording, and measurement logic are sufficiently comparable. A</w:t>
      </w:r>
      <w:r>
        <w:rPr>
          <w:sz w:val="20"/>
          <w:szCs w:val="20"/>
        </w:rPr>
        <w:t>ny divergence from baseline methods shall be clearly documented and justified.</w:t>
      </w:r>
    </w:p>
    <w:p w:rsidR="00395BFB" w:rsidRDefault="00280084">
      <w:pPr>
        <w:widowControl w:val="0"/>
        <w:spacing w:before="240" w:after="240" w:line="276" w:lineRule="auto"/>
        <w:jc w:val="both"/>
        <w:rPr>
          <w:sz w:val="20"/>
          <w:szCs w:val="20"/>
        </w:rPr>
      </w:pPr>
      <w:r>
        <w:rPr>
          <w:sz w:val="20"/>
          <w:szCs w:val="20"/>
        </w:rPr>
        <w:lastRenderedPageBreak/>
        <w:t>The methodology for Objective 1 shall include, as appropriate:</w:t>
      </w:r>
    </w:p>
    <w:p w:rsidR="00395BFB" w:rsidRDefault="00280084">
      <w:pPr>
        <w:widowControl w:val="0"/>
        <w:numPr>
          <w:ilvl w:val="0"/>
          <w:numId w:val="16"/>
        </w:numPr>
        <w:spacing w:before="240" w:line="276" w:lineRule="auto"/>
        <w:rPr>
          <w:sz w:val="20"/>
          <w:szCs w:val="20"/>
        </w:rPr>
      </w:pPr>
      <w:r>
        <w:rPr>
          <w:sz w:val="20"/>
          <w:szCs w:val="20"/>
        </w:rPr>
        <w:t xml:space="preserve">women’s dietary diversity measurement using </w:t>
      </w:r>
      <w:r>
        <w:rPr>
          <w:b/>
          <w:bCs/>
          <w:sz w:val="20"/>
          <w:szCs w:val="20"/>
        </w:rPr>
        <w:t>MDD-W / DQQ</w:t>
      </w:r>
      <w:r>
        <w:rPr>
          <w:sz w:val="20"/>
          <w:szCs w:val="20"/>
        </w:rPr>
        <w:t>;</w:t>
      </w:r>
    </w:p>
    <w:p w:rsidR="00395BFB" w:rsidRDefault="00280084">
      <w:pPr>
        <w:widowControl w:val="0"/>
        <w:numPr>
          <w:ilvl w:val="0"/>
          <w:numId w:val="16"/>
        </w:numPr>
        <w:spacing w:line="276" w:lineRule="auto"/>
        <w:rPr>
          <w:sz w:val="20"/>
          <w:szCs w:val="20"/>
        </w:rPr>
      </w:pPr>
      <w:r>
        <w:rPr>
          <w:sz w:val="20"/>
          <w:szCs w:val="20"/>
        </w:rPr>
        <w:t xml:space="preserve">child diet diversity and/or child feeding measures using </w:t>
      </w:r>
      <w:r>
        <w:rPr>
          <w:sz w:val="20"/>
          <w:szCs w:val="20"/>
        </w:rPr>
        <w:t xml:space="preserve">IYCF-related modules, where included in the final approved protocol; </w:t>
      </w:r>
    </w:p>
    <w:p w:rsidR="00395BFB" w:rsidRDefault="00280084">
      <w:pPr>
        <w:widowControl w:val="0"/>
        <w:numPr>
          <w:ilvl w:val="0"/>
          <w:numId w:val="16"/>
        </w:numPr>
        <w:spacing w:line="276" w:lineRule="auto"/>
        <w:rPr>
          <w:sz w:val="20"/>
          <w:szCs w:val="20"/>
        </w:rPr>
      </w:pPr>
      <w:r>
        <w:rPr>
          <w:sz w:val="20"/>
          <w:szCs w:val="20"/>
        </w:rPr>
        <w:t xml:space="preserve">structured assessment of the </w:t>
      </w:r>
      <w:r>
        <w:rPr>
          <w:b/>
          <w:bCs/>
          <w:sz w:val="20"/>
          <w:szCs w:val="20"/>
        </w:rPr>
        <w:t>application of skills by trained personnel</w:t>
      </w:r>
      <w:r>
        <w:rPr>
          <w:sz w:val="20"/>
          <w:szCs w:val="20"/>
        </w:rPr>
        <w:t>;</w:t>
      </w:r>
    </w:p>
    <w:p w:rsidR="00395BFB" w:rsidRDefault="00280084">
      <w:pPr>
        <w:widowControl w:val="0"/>
        <w:numPr>
          <w:ilvl w:val="0"/>
          <w:numId w:val="16"/>
        </w:numPr>
        <w:spacing w:line="276" w:lineRule="auto"/>
        <w:rPr>
          <w:sz w:val="20"/>
          <w:szCs w:val="20"/>
        </w:rPr>
      </w:pPr>
      <w:r>
        <w:rPr>
          <w:sz w:val="20"/>
          <w:szCs w:val="20"/>
        </w:rPr>
        <w:t xml:space="preserve">market-level assessment of the </w:t>
      </w:r>
      <w:r>
        <w:rPr>
          <w:b/>
          <w:bCs/>
          <w:sz w:val="20"/>
          <w:szCs w:val="20"/>
        </w:rPr>
        <w:t>availability of nutrient-dense foods</w:t>
      </w:r>
      <w:r>
        <w:rPr>
          <w:sz w:val="20"/>
          <w:szCs w:val="20"/>
        </w:rPr>
        <w:t>;</w:t>
      </w:r>
    </w:p>
    <w:p w:rsidR="00395BFB" w:rsidRDefault="00280084">
      <w:pPr>
        <w:widowControl w:val="0"/>
        <w:numPr>
          <w:ilvl w:val="0"/>
          <w:numId w:val="16"/>
        </w:numPr>
        <w:spacing w:line="276" w:lineRule="auto"/>
        <w:rPr>
          <w:sz w:val="20"/>
          <w:szCs w:val="20"/>
        </w:rPr>
      </w:pPr>
      <w:r>
        <w:rPr>
          <w:sz w:val="20"/>
          <w:szCs w:val="20"/>
        </w:rPr>
        <w:t xml:space="preserve">household WASH assessment using </w:t>
      </w:r>
      <w:r>
        <w:rPr>
          <w:b/>
          <w:bCs/>
          <w:sz w:val="20"/>
          <w:szCs w:val="20"/>
        </w:rPr>
        <w:t xml:space="preserve">JMP-aligned </w:t>
      </w:r>
      <w:r>
        <w:rPr>
          <w:b/>
          <w:bCs/>
          <w:sz w:val="20"/>
          <w:szCs w:val="20"/>
        </w:rPr>
        <w:t>service-level questions and classification logic</w:t>
      </w:r>
      <w:r>
        <w:rPr>
          <w:sz w:val="20"/>
          <w:szCs w:val="20"/>
        </w:rPr>
        <w:t>; and</w:t>
      </w:r>
    </w:p>
    <w:p w:rsidR="00395BFB" w:rsidRDefault="00280084">
      <w:pPr>
        <w:widowControl w:val="0"/>
        <w:numPr>
          <w:ilvl w:val="0"/>
          <w:numId w:val="16"/>
        </w:numPr>
        <w:spacing w:after="240" w:line="276" w:lineRule="auto"/>
        <w:rPr>
          <w:sz w:val="20"/>
          <w:szCs w:val="20"/>
        </w:rPr>
      </w:pPr>
      <w:r>
        <w:rPr>
          <w:sz w:val="20"/>
          <w:szCs w:val="20"/>
        </w:rPr>
        <w:t>modules for assessing hygiene knowledge and/or practice in line with the approved Bangladesh framework.</w:t>
      </w:r>
    </w:p>
    <w:p w:rsidR="00395BFB" w:rsidRDefault="00280084">
      <w:pPr>
        <w:pStyle w:val="Heading3"/>
        <w:keepNext w:val="0"/>
        <w:keepLines w:val="0"/>
        <w:widowControl w:val="0"/>
        <w:spacing w:line="276" w:lineRule="auto"/>
        <w:jc w:val="both"/>
        <w:rPr>
          <w:sz w:val="22"/>
          <w:szCs w:val="22"/>
        </w:rPr>
      </w:pPr>
      <w:bookmarkStart w:id="10" w:name="_heading=h.toeg93ivmveh" w:colFirst="0" w:colLast="0"/>
      <w:bookmarkEnd w:id="10"/>
      <w:r>
        <w:rPr>
          <w:sz w:val="22"/>
          <w:szCs w:val="22"/>
        </w:rPr>
        <w:t>3. Methodological Approach under Objective 2</w:t>
      </w:r>
    </w:p>
    <w:p w:rsidR="00395BFB" w:rsidRDefault="00280084">
      <w:pPr>
        <w:widowControl w:val="0"/>
        <w:spacing w:before="240" w:after="240" w:line="276" w:lineRule="auto"/>
        <w:jc w:val="both"/>
        <w:rPr>
          <w:sz w:val="20"/>
          <w:szCs w:val="20"/>
        </w:rPr>
      </w:pPr>
      <w:r>
        <w:rPr>
          <w:sz w:val="20"/>
          <w:szCs w:val="20"/>
        </w:rPr>
        <w:t xml:space="preserve">For Objective 2, the consultant shall apply a </w:t>
      </w:r>
      <w:r>
        <w:rPr>
          <w:b/>
          <w:bCs/>
          <w:sz w:val="20"/>
          <w:szCs w:val="20"/>
        </w:rPr>
        <w:t>module-based analytical approach</w:t>
      </w:r>
      <w:r>
        <w:rPr>
          <w:sz w:val="20"/>
          <w:szCs w:val="20"/>
        </w:rPr>
        <w:t xml:space="preserve"> covering the priority thematic areas identified by </w:t>
      </w:r>
      <w:proofErr w:type="spellStart"/>
      <w:r>
        <w:rPr>
          <w:sz w:val="20"/>
          <w:szCs w:val="20"/>
        </w:rPr>
        <w:t>iDE</w:t>
      </w:r>
      <w:proofErr w:type="spellEnd"/>
      <w:r>
        <w:rPr>
          <w:sz w:val="20"/>
          <w:szCs w:val="20"/>
        </w:rPr>
        <w:t xml:space="preserve"> Bangladesh. Each module shall be operationalized through a clearly defined analytical framework that links research questions, dependent and independent variables, medi</w:t>
      </w:r>
      <w:r>
        <w:rPr>
          <w:sz w:val="20"/>
          <w:szCs w:val="20"/>
        </w:rPr>
        <w:t>ating and contextual factors, respondent groups, data sources, and analytical outputs.</w:t>
      </w:r>
    </w:p>
    <w:p w:rsidR="00395BFB" w:rsidRDefault="00280084">
      <w:pPr>
        <w:pStyle w:val="Heading4"/>
        <w:keepNext w:val="0"/>
        <w:widowControl w:val="0"/>
        <w:spacing w:before="240" w:after="40" w:line="276" w:lineRule="auto"/>
        <w:jc w:val="both"/>
        <w:rPr>
          <w:rFonts w:ascii="Roboto" w:eastAsia="Roboto" w:hAnsi="Roboto" w:cs="Roboto"/>
          <w:sz w:val="22"/>
          <w:szCs w:val="22"/>
        </w:rPr>
      </w:pPr>
      <w:bookmarkStart w:id="11" w:name="_heading=h.pmm12x4ewllh" w:colFirst="0" w:colLast="0"/>
      <w:bookmarkEnd w:id="11"/>
      <w:r>
        <w:rPr>
          <w:rFonts w:ascii="Roboto" w:eastAsia="Roboto" w:hAnsi="Roboto" w:cs="Roboto"/>
          <w:sz w:val="22"/>
          <w:szCs w:val="22"/>
        </w:rPr>
        <w:t>3.1 Module 1: Market-Based WASH Services and Nutrition-Relevant Outcomes</w:t>
      </w:r>
    </w:p>
    <w:p w:rsidR="00395BFB" w:rsidRDefault="00280084">
      <w:pPr>
        <w:widowControl w:val="0"/>
        <w:spacing w:before="240" w:after="240" w:line="276" w:lineRule="auto"/>
        <w:jc w:val="both"/>
        <w:rPr>
          <w:sz w:val="20"/>
          <w:szCs w:val="20"/>
        </w:rPr>
      </w:pPr>
      <w:r>
        <w:rPr>
          <w:sz w:val="20"/>
          <w:szCs w:val="20"/>
        </w:rPr>
        <w:t>This module shall combine household-level quantitative data, qualitative inquiry, and relevant s</w:t>
      </w:r>
      <w:r>
        <w:rPr>
          <w:sz w:val="20"/>
          <w:szCs w:val="20"/>
        </w:rPr>
        <w:t xml:space="preserve">ervice or program data to assess whether and how market-based WASH services are contributing to improved household WASH conditions and nutrition-relevant household outcomes. The methodology should examine access to improved sanitation and water solutions, </w:t>
      </w:r>
      <w:r>
        <w:rPr>
          <w:sz w:val="20"/>
          <w:szCs w:val="20"/>
        </w:rPr>
        <w:t>uptake and sustained use, household hygiene conditions, affordability and accessibility barriers, and plausible pathways linking WASH improvements to reduced diarrheal risk, improved caregiving conditions, and improved food utilization environments. Findin</w:t>
      </w:r>
      <w:r>
        <w:rPr>
          <w:sz w:val="20"/>
          <w:szCs w:val="20"/>
        </w:rPr>
        <w:t>gs should be presented with clearly stated interpretation limits and should avoid overstating direct causal nutrition effects.</w:t>
      </w:r>
    </w:p>
    <w:p w:rsidR="00395BFB" w:rsidRDefault="00280084">
      <w:pPr>
        <w:pStyle w:val="Heading4"/>
        <w:keepNext w:val="0"/>
        <w:widowControl w:val="0"/>
        <w:spacing w:before="240" w:after="40" w:line="276" w:lineRule="auto"/>
        <w:jc w:val="both"/>
        <w:rPr>
          <w:rFonts w:ascii="Roboto" w:eastAsia="Roboto" w:hAnsi="Roboto" w:cs="Roboto"/>
          <w:sz w:val="22"/>
          <w:szCs w:val="22"/>
        </w:rPr>
      </w:pPr>
      <w:bookmarkStart w:id="12" w:name="_heading=h.osio2dh8mikb" w:colFirst="0" w:colLast="0"/>
      <w:bookmarkEnd w:id="12"/>
      <w:r>
        <w:rPr>
          <w:rFonts w:ascii="Roboto" w:eastAsia="Roboto" w:hAnsi="Roboto" w:cs="Roboto"/>
          <w:sz w:val="22"/>
          <w:szCs w:val="22"/>
        </w:rPr>
        <w:t>3.2 Module 2: Nutrition Entrepreneur Deployment Effectiveness and Density Implications</w:t>
      </w:r>
    </w:p>
    <w:p w:rsidR="00395BFB" w:rsidRDefault="00280084">
      <w:pPr>
        <w:widowControl w:val="0"/>
        <w:spacing w:before="240" w:after="240" w:line="276" w:lineRule="auto"/>
        <w:jc w:val="both"/>
        <w:rPr>
          <w:sz w:val="20"/>
          <w:szCs w:val="20"/>
        </w:rPr>
      </w:pPr>
      <w:r>
        <w:rPr>
          <w:sz w:val="20"/>
          <w:szCs w:val="20"/>
        </w:rPr>
        <w:t>This module shall combine analysis of rout</w:t>
      </w:r>
      <w:r>
        <w:rPr>
          <w:sz w:val="20"/>
          <w:szCs w:val="20"/>
        </w:rPr>
        <w:t>ine NE monitoring and performance data with targeted primary data collection and contextual analysis. The methodology should assess NE household reach, repeat-customer patterns, referrals, service mix, product mix, sales, income, and coverage efficiency, a</w:t>
      </w:r>
      <w:r>
        <w:rPr>
          <w:sz w:val="20"/>
          <w:szCs w:val="20"/>
        </w:rPr>
        <w:t>nd should examine how performance varies by deployment density, geography, mobility support, linkage strength, and contextual constraints. Analytical methods may include descriptive analysis, density-band comparison, denominator-based coverage analysis, an</w:t>
      </w:r>
      <w:r>
        <w:rPr>
          <w:sz w:val="20"/>
          <w:szCs w:val="20"/>
        </w:rPr>
        <w:t>d other appropriate modeling or comparative approaches to estimate practical implications for NE saturation and scalable deployment.</w:t>
      </w:r>
    </w:p>
    <w:p w:rsidR="00395BFB" w:rsidRDefault="00280084">
      <w:pPr>
        <w:pStyle w:val="Heading4"/>
        <w:keepNext w:val="0"/>
        <w:widowControl w:val="0"/>
        <w:spacing w:before="240" w:after="40" w:line="276" w:lineRule="auto"/>
        <w:jc w:val="both"/>
        <w:rPr>
          <w:rFonts w:ascii="Roboto" w:eastAsia="Roboto" w:hAnsi="Roboto" w:cs="Roboto"/>
          <w:sz w:val="22"/>
          <w:szCs w:val="22"/>
        </w:rPr>
      </w:pPr>
      <w:bookmarkStart w:id="13" w:name="_heading=h.a3p4yvilt5lv" w:colFirst="0" w:colLast="0"/>
      <w:bookmarkEnd w:id="13"/>
      <w:r>
        <w:rPr>
          <w:rFonts w:ascii="Roboto" w:eastAsia="Roboto" w:hAnsi="Roboto" w:cs="Roboto"/>
          <w:sz w:val="22"/>
          <w:szCs w:val="22"/>
        </w:rPr>
        <w:t>3.3 Module 3: SMART Piped-Water Model in Patuakhali</w:t>
      </w:r>
    </w:p>
    <w:p w:rsidR="00395BFB" w:rsidRDefault="00280084">
      <w:pPr>
        <w:widowControl w:val="0"/>
        <w:spacing w:before="240" w:after="240" w:line="276" w:lineRule="auto"/>
        <w:jc w:val="both"/>
        <w:rPr>
          <w:sz w:val="20"/>
          <w:szCs w:val="20"/>
        </w:rPr>
      </w:pPr>
      <w:r>
        <w:rPr>
          <w:sz w:val="20"/>
          <w:szCs w:val="20"/>
        </w:rPr>
        <w:t xml:space="preserve">This module shall be designed as a focused site-based analytical study </w:t>
      </w:r>
      <w:r>
        <w:rPr>
          <w:sz w:val="20"/>
          <w:szCs w:val="20"/>
        </w:rPr>
        <w:t xml:space="preserve">of the SMART piped-water model in Patuakhali. The methodology should include household-level assessment, service-level review, governance and management inquiry, and financial and operational analysis. It shall assess water service levels using </w:t>
      </w:r>
      <w:r>
        <w:rPr>
          <w:b/>
          <w:bCs/>
          <w:sz w:val="20"/>
          <w:szCs w:val="20"/>
        </w:rPr>
        <w:t>JMP-aligned</w:t>
      </w:r>
      <w:r>
        <w:rPr>
          <w:b/>
          <w:bCs/>
          <w:sz w:val="20"/>
          <w:szCs w:val="20"/>
        </w:rPr>
        <w:t xml:space="preserve"> measures</w:t>
      </w:r>
      <w:r>
        <w:rPr>
          <w:sz w:val="20"/>
          <w:szCs w:val="20"/>
        </w:rPr>
        <w:t xml:space="preserve">, including accessibility, availability, reliability, and continuity, and shall examine affordability, willingness to pay, tariff acceptability, inclusion of poor and </w:t>
      </w:r>
      <w:r>
        <w:rPr>
          <w:sz w:val="20"/>
          <w:szCs w:val="20"/>
        </w:rPr>
        <w:lastRenderedPageBreak/>
        <w:t>climate-vulnerable households, service quality, governance arrangements, O&amp;M sus</w:t>
      </w:r>
      <w:r>
        <w:rPr>
          <w:sz w:val="20"/>
          <w:szCs w:val="20"/>
        </w:rPr>
        <w:t>tainability, and commercial viability. The methodology should also assess the contribution of climate-resilient technical and management features to sustainability and replication in coastal settings.</w:t>
      </w:r>
    </w:p>
    <w:p w:rsidR="00395BFB" w:rsidRDefault="00280084">
      <w:pPr>
        <w:pStyle w:val="Heading3"/>
        <w:keepNext w:val="0"/>
        <w:keepLines w:val="0"/>
        <w:widowControl w:val="0"/>
        <w:spacing w:line="276" w:lineRule="auto"/>
        <w:jc w:val="both"/>
        <w:rPr>
          <w:sz w:val="22"/>
          <w:szCs w:val="22"/>
        </w:rPr>
      </w:pPr>
      <w:bookmarkStart w:id="14" w:name="_heading=h.ni3q8n1wxdai" w:colFirst="0" w:colLast="0"/>
      <w:bookmarkEnd w:id="14"/>
      <w:r>
        <w:rPr>
          <w:sz w:val="22"/>
          <w:szCs w:val="22"/>
        </w:rPr>
        <w:t>4. Methodological Approach under Objective 3</w:t>
      </w:r>
    </w:p>
    <w:p w:rsidR="00395BFB" w:rsidRDefault="00280084">
      <w:pPr>
        <w:widowControl w:val="0"/>
        <w:spacing w:before="240" w:after="240" w:line="276" w:lineRule="auto"/>
        <w:jc w:val="both"/>
        <w:rPr>
          <w:sz w:val="20"/>
          <w:szCs w:val="20"/>
        </w:rPr>
      </w:pPr>
      <w:r>
        <w:rPr>
          <w:sz w:val="20"/>
          <w:szCs w:val="20"/>
        </w:rPr>
        <w:t>For Object</w:t>
      </w:r>
      <w:r>
        <w:rPr>
          <w:sz w:val="20"/>
          <w:szCs w:val="20"/>
        </w:rPr>
        <w:t>ive 3, the consultant shall review existing Nutrition Entrepreneur monitoring and performance data and identify the critical data gaps that limit classification of NE maturity, support need, and graduation readiness. To address these gaps, the consultant s</w:t>
      </w:r>
      <w:r>
        <w:rPr>
          <w:sz w:val="20"/>
          <w:szCs w:val="20"/>
        </w:rPr>
        <w:t xml:space="preserve">hall undertake additional primary data collection among a purposively selected sample representing </w:t>
      </w:r>
      <w:r>
        <w:rPr>
          <w:b/>
          <w:bCs/>
          <w:sz w:val="20"/>
          <w:szCs w:val="20"/>
        </w:rPr>
        <w:t>50% of active Nutrition Entrepreneurs (NEs), based on the validated active NE roster available at inception</w:t>
      </w:r>
      <w:r>
        <w:rPr>
          <w:sz w:val="20"/>
          <w:szCs w:val="20"/>
        </w:rPr>
        <w:t>. The methodology should capture evidence on busin</w:t>
      </w:r>
      <w:r>
        <w:rPr>
          <w:sz w:val="20"/>
          <w:szCs w:val="20"/>
        </w:rPr>
        <w:t>ess maturity, competency, market linkage, operational intensity, support dependency, product and service portfolio, performance consistency, and sustainability. The resulting analysis shall be used to develop and validate a practical graduation and tiering</w:t>
      </w:r>
      <w:r>
        <w:rPr>
          <w:sz w:val="20"/>
          <w:szCs w:val="20"/>
        </w:rPr>
        <w:t xml:space="preserve"> model with clear dimensions, criteria, and thresholds for program use.</w:t>
      </w:r>
    </w:p>
    <w:p w:rsidR="00395BFB" w:rsidRDefault="00280084">
      <w:pPr>
        <w:pStyle w:val="Heading3"/>
        <w:keepNext w:val="0"/>
        <w:keepLines w:val="0"/>
        <w:widowControl w:val="0"/>
        <w:spacing w:line="276" w:lineRule="auto"/>
        <w:jc w:val="both"/>
        <w:rPr>
          <w:sz w:val="26"/>
          <w:szCs w:val="26"/>
        </w:rPr>
      </w:pPr>
      <w:bookmarkStart w:id="15" w:name="_heading=h.so8pem1jhy1g" w:colFirst="0" w:colLast="0"/>
      <w:bookmarkEnd w:id="15"/>
      <w:r>
        <w:rPr>
          <w:sz w:val="26"/>
          <w:szCs w:val="26"/>
        </w:rPr>
        <w:t>5. Data Sources and Tools</w:t>
      </w:r>
    </w:p>
    <w:p w:rsidR="00395BFB" w:rsidRDefault="00280084">
      <w:pPr>
        <w:widowControl w:val="0"/>
        <w:spacing w:before="240" w:after="240" w:line="276" w:lineRule="auto"/>
        <w:jc w:val="both"/>
        <w:rPr>
          <w:sz w:val="20"/>
          <w:szCs w:val="20"/>
        </w:rPr>
      </w:pPr>
      <w:r>
        <w:rPr>
          <w:sz w:val="20"/>
          <w:szCs w:val="20"/>
        </w:rPr>
        <w:t>The methodology shall draw on multiple data sources, including:</w:t>
      </w:r>
    </w:p>
    <w:p w:rsidR="00395BFB" w:rsidRDefault="00280084">
      <w:pPr>
        <w:widowControl w:val="0"/>
        <w:numPr>
          <w:ilvl w:val="0"/>
          <w:numId w:val="19"/>
        </w:numPr>
        <w:spacing w:before="240" w:line="276" w:lineRule="auto"/>
        <w:rPr>
          <w:sz w:val="20"/>
          <w:szCs w:val="20"/>
        </w:rPr>
      </w:pPr>
      <w:r>
        <w:rPr>
          <w:sz w:val="20"/>
          <w:szCs w:val="20"/>
        </w:rPr>
        <w:t>the approved baseline survey;</w:t>
      </w:r>
    </w:p>
    <w:p w:rsidR="00395BFB" w:rsidRDefault="00280084">
      <w:pPr>
        <w:widowControl w:val="0"/>
        <w:numPr>
          <w:ilvl w:val="0"/>
          <w:numId w:val="19"/>
        </w:numPr>
        <w:spacing w:line="276" w:lineRule="auto"/>
        <w:rPr>
          <w:sz w:val="20"/>
          <w:szCs w:val="20"/>
        </w:rPr>
      </w:pPr>
      <w:r>
        <w:rPr>
          <w:sz w:val="20"/>
          <w:szCs w:val="20"/>
        </w:rPr>
        <w:t xml:space="preserve">the approved </w:t>
      </w:r>
      <w:proofErr w:type="spellStart"/>
      <w:r>
        <w:rPr>
          <w:sz w:val="20"/>
          <w:szCs w:val="20"/>
        </w:rPr>
        <w:t>logframe</w:t>
      </w:r>
      <w:proofErr w:type="spellEnd"/>
      <w:r>
        <w:rPr>
          <w:sz w:val="20"/>
          <w:szCs w:val="20"/>
        </w:rPr>
        <w:t xml:space="preserve"> and PITT;</w:t>
      </w:r>
    </w:p>
    <w:p w:rsidR="00395BFB" w:rsidRDefault="00280084">
      <w:pPr>
        <w:widowControl w:val="0"/>
        <w:numPr>
          <w:ilvl w:val="0"/>
          <w:numId w:val="19"/>
        </w:numPr>
        <w:spacing w:line="276" w:lineRule="auto"/>
        <w:rPr>
          <w:sz w:val="20"/>
          <w:szCs w:val="20"/>
        </w:rPr>
      </w:pPr>
      <w:r>
        <w:rPr>
          <w:sz w:val="20"/>
          <w:szCs w:val="20"/>
        </w:rPr>
        <w:t>routine monitoring and administrative datasets;</w:t>
      </w:r>
    </w:p>
    <w:p w:rsidR="00395BFB" w:rsidRDefault="00280084">
      <w:pPr>
        <w:widowControl w:val="0"/>
        <w:numPr>
          <w:ilvl w:val="0"/>
          <w:numId w:val="19"/>
        </w:numPr>
        <w:spacing w:line="276" w:lineRule="auto"/>
        <w:rPr>
          <w:sz w:val="20"/>
          <w:szCs w:val="20"/>
        </w:rPr>
      </w:pPr>
      <w:r>
        <w:rPr>
          <w:sz w:val="20"/>
          <w:szCs w:val="20"/>
        </w:rPr>
        <w:t>household survey data;</w:t>
      </w:r>
    </w:p>
    <w:p w:rsidR="00395BFB" w:rsidRDefault="00280084">
      <w:pPr>
        <w:widowControl w:val="0"/>
        <w:numPr>
          <w:ilvl w:val="0"/>
          <w:numId w:val="19"/>
        </w:numPr>
        <w:spacing w:line="276" w:lineRule="auto"/>
        <w:rPr>
          <w:sz w:val="20"/>
          <w:szCs w:val="20"/>
        </w:rPr>
      </w:pPr>
      <w:r>
        <w:rPr>
          <w:sz w:val="20"/>
          <w:szCs w:val="20"/>
        </w:rPr>
        <w:t>market assessment data;</w:t>
      </w:r>
    </w:p>
    <w:p w:rsidR="00395BFB" w:rsidRDefault="00280084">
      <w:pPr>
        <w:widowControl w:val="0"/>
        <w:numPr>
          <w:ilvl w:val="0"/>
          <w:numId w:val="19"/>
        </w:numPr>
        <w:spacing w:line="276" w:lineRule="auto"/>
        <w:rPr>
          <w:sz w:val="20"/>
          <w:szCs w:val="20"/>
        </w:rPr>
      </w:pPr>
      <w:r>
        <w:rPr>
          <w:sz w:val="20"/>
          <w:szCs w:val="20"/>
        </w:rPr>
        <w:t>trained personnel / beneficiary survey data, where relevant;</w:t>
      </w:r>
    </w:p>
    <w:p w:rsidR="00395BFB" w:rsidRDefault="00280084">
      <w:pPr>
        <w:widowControl w:val="0"/>
        <w:numPr>
          <w:ilvl w:val="0"/>
          <w:numId w:val="19"/>
        </w:numPr>
        <w:spacing w:line="276" w:lineRule="auto"/>
        <w:rPr>
          <w:sz w:val="20"/>
          <w:szCs w:val="20"/>
        </w:rPr>
      </w:pPr>
      <w:r>
        <w:rPr>
          <w:sz w:val="20"/>
          <w:szCs w:val="20"/>
        </w:rPr>
        <w:t>NE monitoring and performance datasets;</w:t>
      </w:r>
    </w:p>
    <w:p w:rsidR="00395BFB" w:rsidRDefault="00280084">
      <w:pPr>
        <w:widowControl w:val="0"/>
        <w:numPr>
          <w:ilvl w:val="0"/>
          <w:numId w:val="19"/>
        </w:numPr>
        <w:spacing w:line="276" w:lineRule="auto"/>
        <w:rPr>
          <w:sz w:val="20"/>
          <w:szCs w:val="20"/>
        </w:rPr>
      </w:pPr>
      <w:r>
        <w:rPr>
          <w:sz w:val="20"/>
          <w:szCs w:val="20"/>
        </w:rPr>
        <w:t>additional NE primary data from the purposively selected sam</w:t>
      </w:r>
      <w:r>
        <w:rPr>
          <w:sz w:val="20"/>
          <w:szCs w:val="20"/>
        </w:rPr>
        <w:t xml:space="preserve">ple representing </w:t>
      </w:r>
      <w:r>
        <w:rPr>
          <w:b/>
          <w:bCs/>
          <w:sz w:val="20"/>
          <w:szCs w:val="20"/>
        </w:rPr>
        <w:t>50% of active Nutrition Entrepreneurs (NEs), based on the validated active NE roster available at inception;</w:t>
      </w:r>
      <w:r>
        <w:rPr>
          <w:sz w:val="20"/>
          <w:szCs w:val="20"/>
        </w:rPr>
        <w:t xml:space="preserve"> </w:t>
      </w:r>
    </w:p>
    <w:p w:rsidR="00395BFB" w:rsidRDefault="00280084">
      <w:pPr>
        <w:widowControl w:val="0"/>
        <w:numPr>
          <w:ilvl w:val="0"/>
          <w:numId w:val="19"/>
        </w:numPr>
        <w:spacing w:line="276" w:lineRule="auto"/>
        <w:rPr>
          <w:sz w:val="20"/>
          <w:szCs w:val="20"/>
        </w:rPr>
      </w:pPr>
      <w:r>
        <w:rPr>
          <w:sz w:val="20"/>
          <w:szCs w:val="20"/>
        </w:rPr>
        <w:t>qualitative data from key informant interviews, focus group discussions, and other relevant qualitative methods; and</w:t>
      </w:r>
    </w:p>
    <w:p w:rsidR="00395BFB" w:rsidRDefault="00280084">
      <w:pPr>
        <w:widowControl w:val="0"/>
        <w:numPr>
          <w:ilvl w:val="0"/>
          <w:numId w:val="19"/>
        </w:numPr>
        <w:spacing w:after="240" w:line="276" w:lineRule="auto"/>
        <w:rPr>
          <w:sz w:val="20"/>
          <w:szCs w:val="20"/>
        </w:rPr>
      </w:pPr>
      <w:r>
        <w:rPr>
          <w:sz w:val="20"/>
          <w:szCs w:val="20"/>
        </w:rPr>
        <w:t>site-specific service, governance, and financial records for the SMART piped-water model in Patuakhali.</w:t>
      </w:r>
    </w:p>
    <w:p w:rsidR="00395BFB" w:rsidRDefault="00280084">
      <w:pPr>
        <w:widowControl w:val="0"/>
        <w:spacing w:before="240" w:after="240" w:line="276" w:lineRule="auto"/>
        <w:jc w:val="both"/>
        <w:rPr>
          <w:sz w:val="20"/>
          <w:szCs w:val="20"/>
        </w:rPr>
      </w:pPr>
      <w:r>
        <w:rPr>
          <w:sz w:val="20"/>
          <w:szCs w:val="20"/>
        </w:rPr>
        <w:t>The consultant shall use validated and internationally recognized tools where relevant and feasible, including:</w:t>
      </w:r>
    </w:p>
    <w:p w:rsidR="00395BFB" w:rsidRDefault="00280084">
      <w:pPr>
        <w:widowControl w:val="0"/>
        <w:numPr>
          <w:ilvl w:val="0"/>
          <w:numId w:val="6"/>
        </w:numPr>
        <w:spacing w:before="240" w:line="276" w:lineRule="auto"/>
        <w:rPr>
          <w:sz w:val="20"/>
          <w:szCs w:val="20"/>
        </w:rPr>
      </w:pPr>
      <w:r>
        <w:rPr>
          <w:b/>
          <w:bCs/>
          <w:sz w:val="20"/>
          <w:szCs w:val="20"/>
        </w:rPr>
        <w:t>MDD-W / DQQ</w:t>
      </w:r>
      <w:r>
        <w:rPr>
          <w:sz w:val="20"/>
          <w:szCs w:val="20"/>
        </w:rPr>
        <w:t xml:space="preserve"> modules for women’s dietary </w:t>
      </w:r>
      <w:r>
        <w:rPr>
          <w:sz w:val="20"/>
          <w:szCs w:val="20"/>
        </w:rPr>
        <w:t>diversity;</w:t>
      </w:r>
    </w:p>
    <w:p w:rsidR="00395BFB" w:rsidRDefault="00280084">
      <w:pPr>
        <w:widowControl w:val="0"/>
        <w:numPr>
          <w:ilvl w:val="0"/>
          <w:numId w:val="6"/>
        </w:numPr>
        <w:spacing w:line="276" w:lineRule="auto"/>
        <w:rPr>
          <w:sz w:val="20"/>
          <w:szCs w:val="20"/>
        </w:rPr>
      </w:pPr>
      <w:r>
        <w:rPr>
          <w:b/>
          <w:bCs/>
          <w:sz w:val="20"/>
          <w:szCs w:val="20"/>
        </w:rPr>
        <w:t xml:space="preserve">IYCF-related modules for child diet diversity or child feeding, where included in the final approved protocol; </w:t>
      </w:r>
    </w:p>
    <w:p w:rsidR="00395BFB" w:rsidRDefault="00280084">
      <w:pPr>
        <w:widowControl w:val="0"/>
        <w:numPr>
          <w:ilvl w:val="0"/>
          <w:numId w:val="6"/>
        </w:numPr>
        <w:spacing w:line="276" w:lineRule="auto"/>
        <w:rPr>
          <w:sz w:val="20"/>
          <w:szCs w:val="20"/>
        </w:rPr>
      </w:pPr>
      <w:r>
        <w:rPr>
          <w:b/>
          <w:bCs/>
          <w:sz w:val="20"/>
          <w:szCs w:val="20"/>
        </w:rPr>
        <w:t>JMP core questions and service-level classification logic</w:t>
      </w:r>
      <w:r>
        <w:rPr>
          <w:sz w:val="20"/>
          <w:szCs w:val="20"/>
        </w:rPr>
        <w:t xml:space="preserve"> for household WASH assessment; and</w:t>
      </w:r>
    </w:p>
    <w:p w:rsidR="00395BFB" w:rsidRDefault="00280084">
      <w:pPr>
        <w:widowControl w:val="0"/>
        <w:numPr>
          <w:ilvl w:val="0"/>
          <w:numId w:val="6"/>
        </w:numPr>
        <w:spacing w:after="240" w:line="276" w:lineRule="auto"/>
        <w:rPr>
          <w:sz w:val="20"/>
          <w:szCs w:val="20"/>
        </w:rPr>
      </w:pPr>
      <w:r>
        <w:rPr>
          <w:sz w:val="20"/>
          <w:szCs w:val="20"/>
        </w:rPr>
        <w:t>clearly justified project-specific tools</w:t>
      </w:r>
      <w:r>
        <w:rPr>
          <w:sz w:val="20"/>
          <w:szCs w:val="20"/>
        </w:rPr>
        <w:t xml:space="preserve"> for skill application, market availability, NE performance, and thematic analytical modules.</w:t>
      </w:r>
    </w:p>
    <w:p w:rsidR="00395BFB" w:rsidRDefault="00280084">
      <w:pPr>
        <w:pStyle w:val="Heading3"/>
        <w:keepNext w:val="0"/>
        <w:keepLines w:val="0"/>
        <w:widowControl w:val="0"/>
        <w:spacing w:line="276" w:lineRule="auto"/>
        <w:jc w:val="both"/>
        <w:rPr>
          <w:sz w:val="22"/>
          <w:szCs w:val="22"/>
        </w:rPr>
      </w:pPr>
      <w:bookmarkStart w:id="16" w:name="_heading=h.yx4m9wpd144d" w:colFirst="0" w:colLast="0"/>
      <w:bookmarkEnd w:id="16"/>
      <w:r>
        <w:rPr>
          <w:sz w:val="22"/>
          <w:szCs w:val="22"/>
        </w:rPr>
        <w:t>6. Baseline Comparison Strategy</w:t>
      </w:r>
    </w:p>
    <w:p w:rsidR="00395BFB" w:rsidRDefault="00280084">
      <w:pPr>
        <w:widowControl w:val="0"/>
        <w:spacing w:before="240" w:after="240" w:line="276" w:lineRule="auto"/>
        <w:jc w:val="both"/>
        <w:rPr>
          <w:sz w:val="20"/>
          <w:szCs w:val="20"/>
        </w:rPr>
      </w:pPr>
      <w:r>
        <w:rPr>
          <w:sz w:val="20"/>
          <w:szCs w:val="20"/>
        </w:rPr>
        <w:lastRenderedPageBreak/>
        <w:t xml:space="preserve">Comparison shall be made </w:t>
      </w:r>
      <w:r>
        <w:rPr>
          <w:b/>
          <w:bCs/>
          <w:sz w:val="20"/>
          <w:szCs w:val="20"/>
        </w:rPr>
        <w:t>against the approved baseline survey only</w:t>
      </w:r>
      <w:r>
        <w:rPr>
          <w:sz w:val="20"/>
          <w:szCs w:val="20"/>
        </w:rPr>
        <w:t>, and only for those selected indicators where comparison is met</w:t>
      </w:r>
      <w:r>
        <w:rPr>
          <w:sz w:val="20"/>
          <w:szCs w:val="20"/>
        </w:rPr>
        <w:t>hodologically valid. The consultant shall maximize comparability by aligning, to the extent feasible, with the approved baseline in relation to:</w:t>
      </w:r>
    </w:p>
    <w:p w:rsidR="00395BFB" w:rsidRDefault="00280084">
      <w:pPr>
        <w:widowControl w:val="0"/>
        <w:numPr>
          <w:ilvl w:val="0"/>
          <w:numId w:val="7"/>
        </w:numPr>
        <w:spacing w:before="240" w:line="276" w:lineRule="auto"/>
        <w:rPr>
          <w:sz w:val="20"/>
          <w:szCs w:val="20"/>
        </w:rPr>
      </w:pPr>
      <w:r>
        <w:rPr>
          <w:sz w:val="20"/>
          <w:szCs w:val="20"/>
        </w:rPr>
        <w:t>indicator definitions;</w:t>
      </w:r>
    </w:p>
    <w:p w:rsidR="00395BFB" w:rsidRDefault="00280084">
      <w:pPr>
        <w:widowControl w:val="0"/>
        <w:numPr>
          <w:ilvl w:val="0"/>
          <w:numId w:val="7"/>
        </w:numPr>
        <w:spacing w:line="276" w:lineRule="auto"/>
        <w:rPr>
          <w:sz w:val="20"/>
          <w:szCs w:val="20"/>
        </w:rPr>
      </w:pPr>
      <w:r>
        <w:rPr>
          <w:sz w:val="20"/>
          <w:szCs w:val="20"/>
        </w:rPr>
        <w:t>respondent categories;</w:t>
      </w:r>
    </w:p>
    <w:p w:rsidR="00395BFB" w:rsidRDefault="00280084">
      <w:pPr>
        <w:widowControl w:val="0"/>
        <w:numPr>
          <w:ilvl w:val="0"/>
          <w:numId w:val="7"/>
        </w:numPr>
        <w:spacing w:line="276" w:lineRule="auto"/>
        <w:rPr>
          <w:sz w:val="20"/>
          <w:szCs w:val="20"/>
        </w:rPr>
      </w:pPr>
      <w:r>
        <w:rPr>
          <w:sz w:val="20"/>
          <w:szCs w:val="20"/>
        </w:rPr>
        <w:t>question wording;</w:t>
      </w:r>
    </w:p>
    <w:p w:rsidR="00395BFB" w:rsidRDefault="00280084">
      <w:pPr>
        <w:widowControl w:val="0"/>
        <w:numPr>
          <w:ilvl w:val="0"/>
          <w:numId w:val="7"/>
        </w:numPr>
        <w:spacing w:line="276" w:lineRule="auto"/>
        <w:rPr>
          <w:sz w:val="20"/>
          <w:szCs w:val="20"/>
        </w:rPr>
      </w:pPr>
      <w:r>
        <w:rPr>
          <w:sz w:val="20"/>
          <w:szCs w:val="20"/>
        </w:rPr>
        <w:t>recall periods;</w:t>
      </w:r>
    </w:p>
    <w:p w:rsidR="00395BFB" w:rsidRDefault="00280084">
      <w:pPr>
        <w:widowControl w:val="0"/>
        <w:numPr>
          <w:ilvl w:val="0"/>
          <w:numId w:val="7"/>
        </w:numPr>
        <w:spacing w:line="276" w:lineRule="auto"/>
        <w:rPr>
          <w:sz w:val="20"/>
          <w:szCs w:val="20"/>
        </w:rPr>
      </w:pPr>
      <w:r>
        <w:rPr>
          <w:sz w:val="20"/>
          <w:szCs w:val="20"/>
        </w:rPr>
        <w:t>measurement protocols; and</w:t>
      </w:r>
    </w:p>
    <w:p w:rsidR="00395BFB" w:rsidRDefault="00280084">
      <w:pPr>
        <w:widowControl w:val="0"/>
        <w:numPr>
          <w:ilvl w:val="0"/>
          <w:numId w:val="7"/>
        </w:numPr>
        <w:spacing w:after="240" w:line="276" w:lineRule="auto"/>
        <w:rPr>
          <w:sz w:val="20"/>
          <w:szCs w:val="20"/>
        </w:rPr>
      </w:pPr>
      <w:r>
        <w:rPr>
          <w:sz w:val="20"/>
          <w:szCs w:val="20"/>
        </w:rPr>
        <w:t>anal</w:t>
      </w:r>
      <w:r>
        <w:rPr>
          <w:sz w:val="20"/>
          <w:szCs w:val="20"/>
        </w:rPr>
        <w:t>ytical treatment.</w:t>
      </w:r>
    </w:p>
    <w:p w:rsidR="00395BFB" w:rsidRDefault="00280084">
      <w:pPr>
        <w:widowControl w:val="0"/>
        <w:spacing w:before="240" w:after="240" w:line="276" w:lineRule="auto"/>
        <w:jc w:val="both"/>
        <w:rPr>
          <w:sz w:val="20"/>
          <w:szCs w:val="20"/>
        </w:rPr>
      </w:pPr>
      <w:r>
        <w:rPr>
          <w:sz w:val="20"/>
          <w:szCs w:val="20"/>
        </w:rPr>
        <w:t>Where full comparability is not possible, the consultant shall clearly state the limitations and define the level of interpretation that remains valid. The inception report shall include a baseline comparability matrix showing, for each s</w:t>
      </w:r>
      <w:r>
        <w:rPr>
          <w:sz w:val="20"/>
          <w:szCs w:val="20"/>
        </w:rPr>
        <w:t>elected indicator, the baseline source, current proposed method, level of comparability, and resulting interpretation limits.</w:t>
      </w:r>
    </w:p>
    <w:p w:rsidR="00395BFB" w:rsidRDefault="00280084">
      <w:pPr>
        <w:pStyle w:val="Heading3"/>
        <w:keepNext w:val="0"/>
        <w:keepLines w:val="0"/>
        <w:widowControl w:val="0"/>
        <w:spacing w:line="276" w:lineRule="auto"/>
        <w:jc w:val="both"/>
        <w:rPr>
          <w:sz w:val="24"/>
          <w:szCs w:val="24"/>
        </w:rPr>
      </w:pPr>
      <w:bookmarkStart w:id="17" w:name="_heading=h.a4mpu9ratopn" w:colFirst="0" w:colLast="0"/>
      <w:bookmarkEnd w:id="17"/>
      <w:r>
        <w:rPr>
          <w:sz w:val="24"/>
          <w:szCs w:val="24"/>
        </w:rPr>
        <w:t>7. Sampling Approach</w:t>
      </w:r>
    </w:p>
    <w:p w:rsidR="00395BFB" w:rsidRDefault="00280084">
      <w:pPr>
        <w:widowControl w:val="0"/>
        <w:spacing w:before="240" w:after="240" w:line="276" w:lineRule="auto"/>
        <w:jc w:val="both"/>
        <w:rPr>
          <w:sz w:val="20"/>
          <w:szCs w:val="20"/>
        </w:rPr>
      </w:pPr>
      <w:r>
        <w:rPr>
          <w:sz w:val="20"/>
          <w:szCs w:val="20"/>
        </w:rPr>
        <w:t xml:space="preserve">The consultant shall propose a technically justified and operationally feasible sampling strategy for the assessment. The proposed design must ensure coverage across all 8 project districts in </w:t>
      </w:r>
      <w:proofErr w:type="spellStart"/>
      <w:r>
        <w:rPr>
          <w:sz w:val="20"/>
          <w:szCs w:val="20"/>
        </w:rPr>
        <w:t>iDE</w:t>
      </w:r>
      <w:proofErr w:type="spellEnd"/>
      <w:r>
        <w:rPr>
          <w:sz w:val="20"/>
          <w:szCs w:val="20"/>
        </w:rPr>
        <w:t xml:space="preserve"> Bangladesh’s TLTN operational geography. However, direct pr</w:t>
      </w:r>
      <w:r>
        <w:rPr>
          <w:sz w:val="20"/>
          <w:szCs w:val="20"/>
        </w:rPr>
        <w:t xml:space="preserve">imary data collection is not required to cover all 24 </w:t>
      </w:r>
      <w:proofErr w:type="spellStart"/>
      <w:r>
        <w:rPr>
          <w:sz w:val="20"/>
          <w:szCs w:val="20"/>
        </w:rPr>
        <w:t>upazilas</w:t>
      </w:r>
      <w:proofErr w:type="spellEnd"/>
      <w:r>
        <w:rPr>
          <w:sz w:val="20"/>
          <w:szCs w:val="20"/>
        </w:rPr>
        <w:t xml:space="preserve">, provided the consultant clearly justifies the district and </w:t>
      </w:r>
      <w:proofErr w:type="spellStart"/>
      <w:r>
        <w:rPr>
          <w:sz w:val="20"/>
          <w:szCs w:val="20"/>
        </w:rPr>
        <w:t>upazila</w:t>
      </w:r>
      <w:proofErr w:type="spellEnd"/>
      <w:r>
        <w:rPr>
          <w:sz w:val="20"/>
          <w:szCs w:val="20"/>
        </w:rPr>
        <w:t xml:space="preserve"> selection logic, representativeness, and limitations of inference. Such coverage does not automatically require statistically</w:t>
      </w:r>
      <w:r>
        <w:rPr>
          <w:sz w:val="20"/>
          <w:szCs w:val="20"/>
        </w:rPr>
        <w:t xml:space="preserve"> reliable district-level estimates for every study component. The consultant must clearly state the intended level of inference for each component and justify it accordingly.</w:t>
      </w:r>
    </w:p>
    <w:p w:rsidR="00395BFB" w:rsidRDefault="00280084">
      <w:pPr>
        <w:widowControl w:val="0"/>
        <w:spacing w:before="240" w:after="240" w:line="276" w:lineRule="auto"/>
        <w:jc w:val="both"/>
        <w:rPr>
          <w:sz w:val="20"/>
          <w:szCs w:val="20"/>
        </w:rPr>
      </w:pPr>
      <w:r>
        <w:rPr>
          <w:sz w:val="20"/>
          <w:szCs w:val="20"/>
        </w:rPr>
        <w:t xml:space="preserve">The proposed sampling design should, where applicable, be aligned with the logic </w:t>
      </w:r>
      <w:r>
        <w:rPr>
          <w:sz w:val="20"/>
          <w:szCs w:val="20"/>
        </w:rPr>
        <w:t>of the approved baseline survey and should support credible programmatic findings at an appropriate level of inference. Proposals should use a 95% confidence level as the planning reference for the main quantitative survey components, with clearly stated a</w:t>
      </w:r>
      <w:r>
        <w:rPr>
          <w:sz w:val="20"/>
          <w:szCs w:val="20"/>
        </w:rPr>
        <w:t>ssumptions, margins of error, respondent categories, and geographic trade-offs. This planning reference should not be interpreted as a mandatory requirement for purposive qualitative inquiry, market assessment sites, or the NE tiering component unless spec</w:t>
      </w:r>
      <w:r>
        <w:rPr>
          <w:sz w:val="20"/>
          <w:szCs w:val="20"/>
        </w:rPr>
        <w:t>ifically justified in the proposed design. Comparison with the approved baseline survey shall be pursued only where definitions, respondent groups, question wording, recall periods, and measurement logic are sufficiently comparable.</w:t>
      </w:r>
    </w:p>
    <w:p w:rsidR="00395BFB" w:rsidRDefault="00280084">
      <w:pPr>
        <w:widowControl w:val="0"/>
        <w:spacing w:before="240" w:after="240" w:line="276" w:lineRule="auto"/>
        <w:jc w:val="both"/>
        <w:rPr>
          <w:sz w:val="20"/>
          <w:szCs w:val="20"/>
        </w:rPr>
      </w:pPr>
      <w:r>
        <w:rPr>
          <w:sz w:val="20"/>
          <w:szCs w:val="20"/>
        </w:rPr>
        <w:t>The proposal must clear</w:t>
      </w:r>
      <w:r>
        <w:rPr>
          <w:sz w:val="20"/>
          <w:szCs w:val="20"/>
        </w:rPr>
        <w:t>ly explain the sampling approach for each major study component, including, as applicable:</w:t>
      </w:r>
      <w:r>
        <w:rPr>
          <w:sz w:val="20"/>
          <w:szCs w:val="20"/>
        </w:rPr>
        <w:br/>
        <w:t xml:space="preserve"> a) household survey respondents;</w:t>
      </w:r>
      <w:r>
        <w:rPr>
          <w:sz w:val="20"/>
          <w:szCs w:val="20"/>
        </w:rPr>
        <w:br/>
        <w:t xml:space="preserve"> b) trained personnel or other relevant respondent groups;</w:t>
      </w:r>
      <w:r>
        <w:rPr>
          <w:sz w:val="20"/>
          <w:szCs w:val="20"/>
        </w:rPr>
        <w:br/>
        <w:t xml:space="preserve"> c) market assessment sites;</w:t>
      </w:r>
      <w:r>
        <w:rPr>
          <w:sz w:val="20"/>
          <w:szCs w:val="20"/>
        </w:rPr>
        <w:br/>
        <w:t xml:space="preserve"> d) the purposively selected sample represe</w:t>
      </w:r>
      <w:r>
        <w:rPr>
          <w:sz w:val="20"/>
          <w:szCs w:val="20"/>
        </w:rPr>
        <w:t>nting 50% of active Nutrition Entrepreneurs (NEs), based on the validated active NE roster available at inception;</w:t>
      </w:r>
      <w:r>
        <w:rPr>
          <w:sz w:val="20"/>
          <w:szCs w:val="20"/>
        </w:rPr>
        <w:br/>
        <w:t xml:space="preserve"> e) the SMART piped-water module in Patuakhali; and</w:t>
      </w:r>
      <w:r>
        <w:rPr>
          <w:sz w:val="20"/>
          <w:szCs w:val="20"/>
        </w:rPr>
        <w:br/>
        <w:t xml:space="preserve"> f) qualitative respondents for triangulation.</w:t>
      </w:r>
    </w:p>
    <w:p w:rsidR="00395BFB" w:rsidRDefault="00280084">
      <w:pPr>
        <w:widowControl w:val="0"/>
        <w:spacing w:before="240" w:after="240" w:line="276" w:lineRule="auto"/>
        <w:jc w:val="both"/>
        <w:rPr>
          <w:sz w:val="20"/>
          <w:szCs w:val="20"/>
        </w:rPr>
      </w:pPr>
      <w:r>
        <w:rPr>
          <w:sz w:val="20"/>
          <w:szCs w:val="20"/>
        </w:rPr>
        <w:t>For each component, the proposal must clea</w:t>
      </w:r>
      <w:r>
        <w:rPr>
          <w:sz w:val="20"/>
          <w:szCs w:val="20"/>
        </w:rPr>
        <w:t xml:space="preserve">rly specify the sampling frame, respondent categories, </w:t>
      </w:r>
      <w:r>
        <w:rPr>
          <w:sz w:val="20"/>
          <w:szCs w:val="20"/>
        </w:rPr>
        <w:lastRenderedPageBreak/>
        <w:t xml:space="preserve">district and </w:t>
      </w:r>
      <w:proofErr w:type="spellStart"/>
      <w:r>
        <w:rPr>
          <w:sz w:val="20"/>
          <w:szCs w:val="20"/>
        </w:rPr>
        <w:t>upazila</w:t>
      </w:r>
      <w:proofErr w:type="spellEnd"/>
      <w:r>
        <w:rPr>
          <w:sz w:val="20"/>
          <w:szCs w:val="20"/>
        </w:rPr>
        <w:t xml:space="preserve"> coverage logic, sample size assumptions, intended level of inference, baseline comparison logic where relevant, and key limitations or trade-offs.</w:t>
      </w:r>
    </w:p>
    <w:p w:rsidR="00395BFB" w:rsidRDefault="00280084">
      <w:pPr>
        <w:pStyle w:val="Heading3"/>
        <w:keepNext w:val="0"/>
        <w:keepLines w:val="0"/>
        <w:widowControl w:val="0"/>
        <w:spacing w:line="276" w:lineRule="auto"/>
        <w:jc w:val="both"/>
        <w:rPr>
          <w:sz w:val="22"/>
          <w:szCs w:val="22"/>
        </w:rPr>
      </w:pPr>
      <w:bookmarkStart w:id="18" w:name="_heading=h.rnu6wyj3frwb" w:colFirst="0" w:colLast="0"/>
      <w:bookmarkEnd w:id="18"/>
      <w:r>
        <w:rPr>
          <w:sz w:val="22"/>
          <w:szCs w:val="22"/>
        </w:rPr>
        <w:t>8. Abstract-to-Variable Matrix</w:t>
      </w:r>
    </w:p>
    <w:p w:rsidR="00395BFB" w:rsidRDefault="00280084">
      <w:pPr>
        <w:widowControl w:val="0"/>
        <w:spacing w:before="240" w:after="240" w:line="276" w:lineRule="auto"/>
        <w:jc w:val="both"/>
        <w:rPr>
          <w:sz w:val="20"/>
          <w:szCs w:val="20"/>
        </w:rPr>
      </w:pPr>
      <w:r>
        <w:rPr>
          <w:sz w:val="20"/>
          <w:szCs w:val="20"/>
        </w:rPr>
        <w:t>As</w:t>
      </w:r>
      <w:r>
        <w:rPr>
          <w:sz w:val="20"/>
          <w:szCs w:val="20"/>
        </w:rPr>
        <w:t xml:space="preserve"> part of the inception phase, the consultant shall prepare an </w:t>
      </w:r>
      <w:r>
        <w:rPr>
          <w:b/>
          <w:bCs/>
          <w:sz w:val="20"/>
          <w:szCs w:val="20"/>
        </w:rPr>
        <w:t>Abstract-to-Variable Matrix</w:t>
      </w:r>
      <w:r>
        <w:rPr>
          <w:sz w:val="20"/>
          <w:szCs w:val="20"/>
        </w:rPr>
        <w:t xml:space="preserve"> for each priority analytical module. This matrix shall convert each module into measurable analytical questions and shall specify:</w:t>
      </w:r>
    </w:p>
    <w:p w:rsidR="00395BFB" w:rsidRDefault="00280084">
      <w:pPr>
        <w:widowControl w:val="0"/>
        <w:numPr>
          <w:ilvl w:val="0"/>
          <w:numId w:val="1"/>
        </w:numPr>
        <w:spacing w:before="240" w:line="276" w:lineRule="auto"/>
        <w:rPr>
          <w:sz w:val="20"/>
          <w:szCs w:val="20"/>
        </w:rPr>
      </w:pPr>
      <w:r>
        <w:rPr>
          <w:sz w:val="20"/>
          <w:szCs w:val="20"/>
        </w:rPr>
        <w:t>key dependent and outcome variables</w:t>
      </w:r>
      <w:r>
        <w:rPr>
          <w:sz w:val="20"/>
          <w:szCs w:val="20"/>
        </w:rPr>
        <w:t>;</w:t>
      </w:r>
    </w:p>
    <w:p w:rsidR="00395BFB" w:rsidRDefault="00280084">
      <w:pPr>
        <w:widowControl w:val="0"/>
        <w:numPr>
          <w:ilvl w:val="0"/>
          <w:numId w:val="1"/>
        </w:numPr>
        <w:spacing w:line="276" w:lineRule="auto"/>
        <w:rPr>
          <w:sz w:val="20"/>
          <w:szCs w:val="20"/>
        </w:rPr>
      </w:pPr>
      <w:r>
        <w:rPr>
          <w:sz w:val="20"/>
          <w:szCs w:val="20"/>
        </w:rPr>
        <w:t>key independent variables;</w:t>
      </w:r>
    </w:p>
    <w:p w:rsidR="00395BFB" w:rsidRDefault="00280084">
      <w:pPr>
        <w:widowControl w:val="0"/>
        <w:numPr>
          <w:ilvl w:val="0"/>
          <w:numId w:val="1"/>
        </w:numPr>
        <w:spacing w:line="276" w:lineRule="auto"/>
        <w:rPr>
          <w:sz w:val="20"/>
          <w:szCs w:val="20"/>
        </w:rPr>
      </w:pPr>
      <w:r>
        <w:rPr>
          <w:sz w:val="20"/>
          <w:szCs w:val="20"/>
        </w:rPr>
        <w:t>mediating and contextual factors;</w:t>
      </w:r>
    </w:p>
    <w:p w:rsidR="00395BFB" w:rsidRDefault="00280084">
      <w:pPr>
        <w:widowControl w:val="0"/>
        <w:numPr>
          <w:ilvl w:val="0"/>
          <w:numId w:val="1"/>
        </w:numPr>
        <w:spacing w:line="276" w:lineRule="auto"/>
        <w:rPr>
          <w:sz w:val="20"/>
          <w:szCs w:val="20"/>
        </w:rPr>
      </w:pPr>
      <w:r>
        <w:rPr>
          <w:sz w:val="20"/>
          <w:szCs w:val="20"/>
        </w:rPr>
        <w:t>data sources and tools;</w:t>
      </w:r>
    </w:p>
    <w:p w:rsidR="00395BFB" w:rsidRDefault="00280084">
      <w:pPr>
        <w:widowControl w:val="0"/>
        <w:numPr>
          <w:ilvl w:val="0"/>
          <w:numId w:val="1"/>
        </w:numPr>
        <w:spacing w:line="276" w:lineRule="auto"/>
        <w:rPr>
          <w:sz w:val="20"/>
          <w:szCs w:val="20"/>
        </w:rPr>
      </w:pPr>
      <w:r>
        <w:rPr>
          <w:sz w:val="20"/>
          <w:szCs w:val="20"/>
        </w:rPr>
        <w:t>respondent groups;</w:t>
      </w:r>
    </w:p>
    <w:p w:rsidR="00395BFB" w:rsidRDefault="00280084">
      <w:pPr>
        <w:widowControl w:val="0"/>
        <w:numPr>
          <w:ilvl w:val="0"/>
          <w:numId w:val="1"/>
        </w:numPr>
        <w:spacing w:line="276" w:lineRule="auto"/>
        <w:rPr>
          <w:sz w:val="20"/>
          <w:szCs w:val="20"/>
        </w:rPr>
      </w:pPr>
      <w:r>
        <w:rPr>
          <w:sz w:val="20"/>
          <w:szCs w:val="20"/>
        </w:rPr>
        <w:t>analytical methods; and</w:t>
      </w:r>
    </w:p>
    <w:p w:rsidR="00395BFB" w:rsidRDefault="00280084">
      <w:pPr>
        <w:widowControl w:val="0"/>
        <w:numPr>
          <w:ilvl w:val="0"/>
          <w:numId w:val="1"/>
        </w:numPr>
        <w:spacing w:after="240" w:line="276" w:lineRule="auto"/>
        <w:rPr>
          <w:sz w:val="20"/>
          <w:szCs w:val="20"/>
        </w:rPr>
      </w:pPr>
      <w:r>
        <w:rPr>
          <w:sz w:val="20"/>
          <w:szCs w:val="20"/>
        </w:rPr>
        <w:t>expected reporting outputs.</w:t>
      </w:r>
    </w:p>
    <w:p w:rsidR="00395BFB" w:rsidRDefault="00280084">
      <w:pPr>
        <w:widowControl w:val="0"/>
        <w:spacing w:before="240" w:after="240" w:line="276" w:lineRule="auto"/>
        <w:jc w:val="both"/>
        <w:rPr>
          <w:sz w:val="20"/>
          <w:szCs w:val="20"/>
        </w:rPr>
      </w:pPr>
      <w:r>
        <w:rPr>
          <w:sz w:val="20"/>
          <w:szCs w:val="20"/>
        </w:rPr>
        <w:t>All thematic findings under Objective 2 shall be explicitly aligned to this matrix and triangulated with available program data and primary evidence.</w:t>
      </w:r>
    </w:p>
    <w:p w:rsidR="00395BFB" w:rsidRDefault="00280084">
      <w:pPr>
        <w:pStyle w:val="Heading3"/>
        <w:keepNext w:val="0"/>
        <w:keepLines w:val="0"/>
        <w:widowControl w:val="0"/>
        <w:spacing w:line="276" w:lineRule="auto"/>
        <w:jc w:val="both"/>
        <w:rPr>
          <w:sz w:val="26"/>
          <w:szCs w:val="26"/>
        </w:rPr>
      </w:pPr>
      <w:bookmarkStart w:id="19" w:name="_heading=h.dumom5xz1fth" w:colFirst="0" w:colLast="0"/>
      <w:bookmarkEnd w:id="19"/>
      <w:r>
        <w:rPr>
          <w:sz w:val="26"/>
          <w:szCs w:val="26"/>
        </w:rPr>
        <w:t>9. Data Quality Assurance</w:t>
      </w:r>
    </w:p>
    <w:p w:rsidR="00395BFB" w:rsidRDefault="00280084">
      <w:pPr>
        <w:widowControl w:val="0"/>
        <w:spacing w:before="240" w:after="240" w:line="276" w:lineRule="auto"/>
        <w:jc w:val="both"/>
        <w:rPr>
          <w:sz w:val="20"/>
          <w:szCs w:val="20"/>
        </w:rPr>
      </w:pPr>
      <w:r>
        <w:rPr>
          <w:sz w:val="20"/>
          <w:szCs w:val="20"/>
        </w:rPr>
        <w:t>The methodology must include a robust data quality assurance plan covering:</w:t>
      </w:r>
    </w:p>
    <w:p w:rsidR="00395BFB" w:rsidRDefault="00280084">
      <w:pPr>
        <w:widowControl w:val="0"/>
        <w:numPr>
          <w:ilvl w:val="0"/>
          <w:numId w:val="17"/>
        </w:numPr>
        <w:spacing w:before="240" w:line="276" w:lineRule="auto"/>
        <w:rPr>
          <w:sz w:val="20"/>
          <w:szCs w:val="20"/>
        </w:rPr>
      </w:pPr>
      <w:r>
        <w:rPr>
          <w:sz w:val="20"/>
          <w:szCs w:val="20"/>
        </w:rPr>
        <w:t>tool</w:t>
      </w:r>
      <w:r>
        <w:rPr>
          <w:sz w:val="20"/>
          <w:szCs w:val="20"/>
        </w:rPr>
        <w:t xml:space="preserve"> drafting, review, and refinement;</w:t>
      </w:r>
    </w:p>
    <w:p w:rsidR="00395BFB" w:rsidRDefault="00280084">
      <w:pPr>
        <w:widowControl w:val="0"/>
        <w:numPr>
          <w:ilvl w:val="0"/>
          <w:numId w:val="17"/>
        </w:numPr>
        <w:spacing w:line="276" w:lineRule="auto"/>
        <w:rPr>
          <w:sz w:val="20"/>
          <w:szCs w:val="20"/>
        </w:rPr>
      </w:pPr>
      <w:r>
        <w:rPr>
          <w:sz w:val="20"/>
          <w:szCs w:val="20"/>
        </w:rPr>
        <w:t>translation and back-checking where needed;</w:t>
      </w:r>
    </w:p>
    <w:p w:rsidR="00395BFB" w:rsidRDefault="00280084">
      <w:pPr>
        <w:widowControl w:val="0"/>
        <w:numPr>
          <w:ilvl w:val="0"/>
          <w:numId w:val="17"/>
        </w:numPr>
        <w:spacing w:line="276" w:lineRule="auto"/>
        <w:rPr>
          <w:sz w:val="20"/>
          <w:szCs w:val="20"/>
        </w:rPr>
      </w:pPr>
      <w:r>
        <w:rPr>
          <w:sz w:val="20"/>
          <w:szCs w:val="20"/>
        </w:rPr>
        <w:t>piloting and revision;</w:t>
      </w:r>
    </w:p>
    <w:p w:rsidR="00395BFB" w:rsidRDefault="00280084">
      <w:pPr>
        <w:widowControl w:val="0"/>
        <w:numPr>
          <w:ilvl w:val="0"/>
          <w:numId w:val="17"/>
        </w:numPr>
        <w:spacing w:line="276" w:lineRule="auto"/>
        <w:rPr>
          <w:sz w:val="20"/>
          <w:szCs w:val="20"/>
        </w:rPr>
      </w:pPr>
      <w:r>
        <w:rPr>
          <w:sz w:val="20"/>
          <w:szCs w:val="20"/>
        </w:rPr>
        <w:t>enumerator and supervisor training;</w:t>
      </w:r>
    </w:p>
    <w:p w:rsidR="00395BFB" w:rsidRDefault="00280084">
      <w:pPr>
        <w:widowControl w:val="0"/>
        <w:numPr>
          <w:ilvl w:val="0"/>
          <w:numId w:val="17"/>
        </w:numPr>
        <w:spacing w:line="276" w:lineRule="auto"/>
        <w:rPr>
          <w:sz w:val="20"/>
          <w:szCs w:val="20"/>
        </w:rPr>
      </w:pPr>
      <w:r>
        <w:rPr>
          <w:sz w:val="20"/>
          <w:szCs w:val="20"/>
        </w:rPr>
        <w:t>field supervision and spot checks;</w:t>
      </w:r>
    </w:p>
    <w:p w:rsidR="00395BFB" w:rsidRDefault="00280084">
      <w:pPr>
        <w:widowControl w:val="0"/>
        <w:numPr>
          <w:ilvl w:val="0"/>
          <w:numId w:val="17"/>
        </w:numPr>
        <w:spacing w:line="276" w:lineRule="auto"/>
        <w:rPr>
          <w:sz w:val="20"/>
          <w:szCs w:val="20"/>
        </w:rPr>
      </w:pPr>
      <w:r>
        <w:rPr>
          <w:sz w:val="20"/>
          <w:szCs w:val="20"/>
        </w:rPr>
        <w:t>real-time data monitoring, where digital tools are used;</w:t>
      </w:r>
    </w:p>
    <w:p w:rsidR="00395BFB" w:rsidRDefault="00280084">
      <w:pPr>
        <w:widowControl w:val="0"/>
        <w:numPr>
          <w:ilvl w:val="0"/>
          <w:numId w:val="17"/>
        </w:numPr>
        <w:spacing w:line="276" w:lineRule="auto"/>
        <w:rPr>
          <w:sz w:val="20"/>
          <w:szCs w:val="20"/>
        </w:rPr>
      </w:pPr>
      <w:r>
        <w:rPr>
          <w:sz w:val="20"/>
          <w:szCs w:val="20"/>
        </w:rPr>
        <w:t>validation and consistency checks;</w:t>
      </w:r>
    </w:p>
    <w:p w:rsidR="00395BFB" w:rsidRDefault="00280084">
      <w:pPr>
        <w:widowControl w:val="0"/>
        <w:numPr>
          <w:ilvl w:val="0"/>
          <w:numId w:val="17"/>
        </w:numPr>
        <w:spacing w:line="276" w:lineRule="auto"/>
        <w:rPr>
          <w:sz w:val="20"/>
          <w:szCs w:val="20"/>
        </w:rPr>
      </w:pPr>
      <w:r>
        <w:rPr>
          <w:sz w:val="20"/>
          <w:szCs w:val="20"/>
        </w:rPr>
        <w:t>data cleaning procedures;</w:t>
      </w:r>
    </w:p>
    <w:p w:rsidR="00395BFB" w:rsidRDefault="00280084">
      <w:pPr>
        <w:widowControl w:val="0"/>
        <w:numPr>
          <w:ilvl w:val="0"/>
          <w:numId w:val="17"/>
        </w:numPr>
        <w:spacing w:line="276" w:lineRule="auto"/>
        <w:rPr>
          <w:sz w:val="20"/>
          <w:szCs w:val="20"/>
        </w:rPr>
      </w:pPr>
      <w:r>
        <w:rPr>
          <w:sz w:val="20"/>
          <w:szCs w:val="20"/>
        </w:rPr>
        <w:t>codebook preparation; and</w:t>
      </w:r>
    </w:p>
    <w:p w:rsidR="00395BFB" w:rsidRDefault="00280084">
      <w:pPr>
        <w:widowControl w:val="0"/>
        <w:numPr>
          <w:ilvl w:val="0"/>
          <w:numId w:val="17"/>
        </w:numPr>
        <w:spacing w:after="240" w:line="276" w:lineRule="auto"/>
        <w:rPr>
          <w:sz w:val="20"/>
          <w:szCs w:val="20"/>
        </w:rPr>
      </w:pPr>
      <w:r>
        <w:rPr>
          <w:sz w:val="20"/>
          <w:szCs w:val="20"/>
        </w:rPr>
        <w:t>documentation of analytical decisions.</w:t>
      </w:r>
    </w:p>
    <w:p w:rsidR="00395BFB" w:rsidRDefault="00280084">
      <w:pPr>
        <w:widowControl w:val="0"/>
        <w:spacing w:before="240" w:after="240" w:line="276" w:lineRule="auto"/>
        <w:jc w:val="both"/>
        <w:rPr>
          <w:sz w:val="20"/>
          <w:szCs w:val="20"/>
        </w:rPr>
      </w:pPr>
      <w:r>
        <w:rPr>
          <w:sz w:val="20"/>
          <w:szCs w:val="20"/>
        </w:rPr>
        <w:t>The consultant shall clearly describe how data quality will be maintained across quantitative, qualitative, and administrative dat</w:t>
      </w:r>
      <w:r>
        <w:rPr>
          <w:sz w:val="20"/>
          <w:szCs w:val="20"/>
        </w:rPr>
        <w:t>a streams.</w:t>
      </w:r>
    </w:p>
    <w:p w:rsidR="00395BFB" w:rsidRDefault="00280084">
      <w:pPr>
        <w:pStyle w:val="Heading3"/>
        <w:keepNext w:val="0"/>
        <w:keepLines w:val="0"/>
        <w:widowControl w:val="0"/>
        <w:spacing w:line="276" w:lineRule="auto"/>
        <w:jc w:val="both"/>
        <w:rPr>
          <w:sz w:val="22"/>
          <w:szCs w:val="22"/>
        </w:rPr>
      </w:pPr>
      <w:bookmarkStart w:id="20" w:name="_heading=h.t2bjwhjji3b4" w:colFirst="0" w:colLast="0"/>
      <w:bookmarkEnd w:id="20"/>
      <w:r>
        <w:rPr>
          <w:sz w:val="22"/>
          <w:szCs w:val="22"/>
        </w:rPr>
        <w:t>10. Ethical Considerations</w:t>
      </w:r>
    </w:p>
    <w:p w:rsidR="00395BFB" w:rsidRDefault="00280084">
      <w:pPr>
        <w:widowControl w:val="0"/>
        <w:spacing w:before="240" w:after="240" w:line="276" w:lineRule="auto"/>
        <w:jc w:val="both"/>
        <w:rPr>
          <w:sz w:val="20"/>
          <w:szCs w:val="20"/>
        </w:rPr>
      </w:pPr>
      <w:r>
        <w:rPr>
          <w:sz w:val="20"/>
          <w:szCs w:val="20"/>
        </w:rPr>
        <w:t>The methodology shall include an ethical protocol appropriate to the study design and context. At minimum, the consultant shall ensure:</w:t>
      </w:r>
    </w:p>
    <w:p w:rsidR="00395BFB" w:rsidRDefault="00280084">
      <w:pPr>
        <w:widowControl w:val="0"/>
        <w:numPr>
          <w:ilvl w:val="0"/>
          <w:numId w:val="4"/>
        </w:numPr>
        <w:spacing w:before="240" w:line="276" w:lineRule="auto"/>
        <w:rPr>
          <w:sz w:val="20"/>
          <w:szCs w:val="20"/>
        </w:rPr>
      </w:pPr>
      <w:r>
        <w:rPr>
          <w:sz w:val="20"/>
          <w:szCs w:val="20"/>
        </w:rPr>
        <w:t>informed consent for all respondents;</w:t>
      </w:r>
    </w:p>
    <w:p w:rsidR="00395BFB" w:rsidRDefault="00280084">
      <w:pPr>
        <w:widowControl w:val="0"/>
        <w:numPr>
          <w:ilvl w:val="0"/>
          <w:numId w:val="4"/>
        </w:numPr>
        <w:spacing w:line="276" w:lineRule="auto"/>
        <w:rPr>
          <w:sz w:val="20"/>
          <w:szCs w:val="20"/>
        </w:rPr>
      </w:pPr>
      <w:r>
        <w:rPr>
          <w:sz w:val="20"/>
          <w:szCs w:val="20"/>
        </w:rPr>
        <w:t>confidentiality and privacy protections;</w:t>
      </w:r>
    </w:p>
    <w:p w:rsidR="00395BFB" w:rsidRDefault="00280084">
      <w:pPr>
        <w:widowControl w:val="0"/>
        <w:numPr>
          <w:ilvl w:val="0"/>
          <w:numId w:val="4"/>
        </w:numPr>
        <w:spacing w:line="276" w:lineRule="auto"/>
        <w:rPr>
          <w:sz w:val="20"/>
          <w:szCs w:val="20"/>
        </w:rPr>
      </w:pPr>
      <w:r>
        <w:rPr>
          <w:sz w:val="20"/>
          <w:szCs w:val="20"/>
        </w:rPr>
        <w:t>de-</w:t>
      </w:r>
      <w:r>
        <w:rPr>
          <w:sz w:val="20"/>
          <w:szCs w:val="20"/>
        </w:rPr>
        <w:t>identification of datasets before submission;</w:t>
      </w:r>
    </w:p>
    <w:p w:rsidR="00395BFB" w:rsidRDefault="00280084">
      <w:pPr>
        <w:widowControl w:val="0"/>
        <w:numPr>
          <w:ilvl w:val="0"/>
          <w:numId w:val="4"/>
        </w:numPr>
        <w:spacing w:line="276" w:lineRule="auto"/>
        <w:rPr>
          <w:sz w:val="20"/>
          <w:szCs w:val="20"/>
        </w:rPr>
      </w:pPr>
      <w:r>
        <w:rPr>
          <w:sz w:val="20"/>
          <w:szCs w:val="20"/>
        </w:rPr>
        <w:t>secure data storage and transfer;</w:t>
      </w:r>
    </w:p>
    <w:p w:rsidR="00395BFB" w:rsidRDefault="00280084">
      <w:pPr>
        <w:widowControl w:val="0"/>
        <w:numPr>
          <w:ilvl w:val="0"/>
          <w:numId w:val="4"/>
        </w:numPr>
        <w:spacing w:line="276" w:lineRule="auto"/>
        <w:rPr>
          <w:sz w:val="20"/>
          <w:szCs w:val="20"/>
        </w:rPr>
      </w:pPr>
      <w:r>
        <w:rPr>
          <w:sz w:val="20"/>
          <w:szCs w:val="20"/>
        </w:rPr>
        <w:lastRenderedPageBreak/>
        <w:t>do-no-harm principles;</w:t>
      </w:r>
    </w:p>
    <w:p w:rsidR="00395BFB" w:rsidRDefault="00280084">
      <w:pPr>
        <w:widowControl w:val="0"/>
        <w:numPr>
          <w:ilvl w:val="0"/>
          <w:numId w:val="4"/>
        </w:numPr>
        <w:spacing w:line="276" w:lineRule="auto"/>
        <w:rPr>
          <w:sz w:val="20"/>
          <w:szCs w:val="20"/>
        </w:rPr>
      </w:pPr>
      <w:r>
        <w:rPr>
          <w:sz w:val="20"/>
          <w:szCs w:val="20"/>
        </w:rPr>
        <w:t>safeguards for vulnerable respondents; and</w:t>
      </w:r>
    </w:p>
    <w:p w:rsidR="00395BFB" w:rsidRDefault="00280084">
      <w:pPr>
        <w:widowControl w:val="0"/>
        <w:numPr>
          <w:ilvl w:val="0"/>
          <w:numId w:val="4"/>
        </w:numPr>
        <w:spacing w:after="240" w:line="276" w:lineRule="auto"/>
        <w:rPr>
          <w:sz w:val="20"/>
          <w:szCs w:val="20"/>
        </w:rPr>
      </w:pPr>
      <w:r>
        <w:rPr>
          <w:sz w:val="20"/>
          <w:szCs w:val="20"/>
        </w:rPr>
        <w:t>training of field teams on ethical conduct and respondent protection.</w:t>
      </w:r>
    </w:p>
    <w:p w:rsidR="00395BFB" w:rsidRDefault="00280084">
      <w:pPr>
        <w:widowControl w:val="0"/>
        <w:spacing w:before="240" w:after="240" w:line="276" w:lineRule="auto"/>
        <w:jc w:val="both"/>
        <w:rPr>
          <w:sz w:val="20"/>
          <w:szCs w:val="20"/>
        </w:rPr>
      </w:pPr>
      <w:r>
        <w:rPr>
          <w:sz w:val="20"/>
          <w:szCs w:val="20"/>
        </w:rPr>
        <w:t>Formal IRB approval is not required by d</w:t>
      </w:r>
      <w:r>
        <w:rPr>
          <w:sz w:val="20"/>
          <w:szCs w:val="20"/>
        </w:rPr>
        <w:t>efault under this TOR unless the consultant proposes a design or institutional arrangement that makes such approval necessary.</w:t>
      </w:r>
    </w:p>
    <w:p w:rsidR="00395BFB" w:rsidRDefault="00280084">
      <w:pPr>
        <w:pStyle w:val="Heading3"/>
        <w:keepNext w:val="0"/>
        <w:keepLines w:val="0"/>
        <w:widowControl w:val="0"/>
        <w:spacing w:line="276" w:lineRule="auto"/>
        <w:jc w:val="both"/>
        <w:rPr>
          <w:sz w:val="22"/>
          <w:szCs w:val="22"/>
        </w:rPr>
      </w:pPr>
      <w:bookmarkStart w:id="21" w:name="_heading=h.nlm4ya27bo5f" w:colFirst="0" w:colLast="0"/>
      <w:bookmarkEnd w:id="21"/>
      <w:r>
        <w:rPr>
          <w:sz w:val="22"/>
          <w:szCs w:val="22"/>
        </w:rPr>
        <w:t>11. Data Management, Analysis, and Reporting</w:t>
      </w:r>
    </w:p>
    <w:p w:rsidR="00395BFB" w:rsidRDefault="00280084">
      <w:pPr>
        <w:widowControl w:val="0"/>
        <w:spacing w:before="240" w:after="240" w:line="276" w:lineRule="auto"/>
        <w:jc w:val="both"/>
        <w:rPr>
          <w:sz w:val="20"/>
          <w:szCs w:val="20"/>
        </w:rPr>
      </w:pPr>
      <w:r>
        <w:rPr>
          <w:sz w:val="20"/>
          <w:szCs w:val="20"/>
        </w:rPr>
        <w:t>The consultant shall manage all quantitative and qualitative data in a secure, well-</w:t>
      </w:r>
      <w:r>
        <w:rPr>
          <w:sz w:val="20"/>
          <w:szCs w:val="20"/>
        </w:rPr>
        <w:t>documented, and auditable manner. Quantitative analysis should be aligned with the intended level of inference and may include descriptive statistics, cross-tabulation, comparison with baseline values where appropriate, indicator-level analysis, segmentati</w:t>
      </w:r>
      <w:r>
        <w:rPr>
          <w:sz w:val="20"/>
          <w:szCs w:val="20"/>
        </w:rPr>
        <w:t>on, denominator-based coverage analysis, and other relevant analytical techniques. Qualitative analysis should be used to interpret quantitative findings, explain pathway performance, identify bottlenecks, and generate practical implementation insights.</w:t>
      </w:r>
    </w:p>
    <w:p w:rsidR="00395BFB" w:rsidRDefault="00280084">
      <w:pPr>
        <w:widowControl w:val="0"/>
        <w:spacing w:before="240" w:after="240" w:line="276" w:lineRule="auto"/>
        <w:jc w:val="both"/>
        <w:rPr>
          <w:sz w:val="20"/>
          <w:szCs w:val="20"/>
        </w:rPr>
      </w:pPr>
      <w:r>
        <w:rPr>
          <w:sz w:val="20"/>
          <w:szCs w:val="20"/>
        </w:rPr>
        <w:t>All findings shall be triangulated across data sources and reported with clear explanation of assumptions, limitations, comparability constraints, and interpretation boundaries. The final methodology shall be refined and finalized during the inception phas</w:t>
      </w:r>
      <w:r>
        <w:rPr>
          <w:sz w:val="20"/>
          <w:szCs w:val="20"/>
        </w:rPr>
        <w:t xml:space="preserve">e in consultation with </w:t>
      </w:r>
      <w:proofErr w:type="spellStart"/>
      <w:r>
        <w:rPr>
          <w:sz w:val="20"/>
          <w:szCs w:val="20"/>
        </w:rPr>
        <w:t>iDE</w:t>
      </w:r>
      <w:proofErr w:type="spellEnd"/>
      <w:r>
        <w:rPr>
          <w:sz w:val="20"/>
          <w:szCs w:val="20"/>
        </w:rPr>
        <w:t xml:space="preserve"> Bangladesh. </w:t>
      </w:r>
    </w:p>
    <w:p w:rsidR="00395BFB" w:rsidRDefault="00280084">
      <w:pPr>
        <w:widowControl w:val="0"/>
        <w:numPr>
          <w:ilvl w:val="0"/>
          <w:numId w:val="12"/>
        </w:numPr>
        <w:tabs>
          <w:tab w:val="left" w:pos="450"/>
        </w:tabs>
        <w:spacing w:before="200" w:after="120" w:line="276" w:lineRule="auto"/>
        <w:ind w:left="270" w:hanging="270"/>
        <w:jc w:val="both"/>
        <w:rPr>
          <w:b/>
          <w:bCs/>
          <w:color w:val="EA4D39"/>
          <w:sz w:val="20"/>
          <w:szCs w:val="20"/>
          <w:highlight w:val="white"/>
        </w:rPr>
      </w:pPr>
      <w:r>
        <w:rPr>
          <w:b/>
          <w:bCs/>
          <w:color w:val="EA4D39"/>
          <w:sz w:val="20"/>
          <w:szCs w:val="20"/>
          <w:highlight w:val="white"/>
        </w:rPr>
        <w:t>Major Responsibilities of the Firm</w:t>
      </w:r>
    </w:p>
    <w:p w:rsidR="00395BFB" w:rsidRDefault="00280084">
      <w:pPr>
        <w:widowControl w:val="0"/>
        <w:spacing w:before="240" w:after="240" w:line="276" w:lineRule="auto"/>
        <w:rPr>
          <w:sz w:val="20"/>
          <w:szCs w:val="20"/>
        </w:rPr>
      </w:pPr>
      <w:r>
        <w:rPr>
          <w:sz w:val="20"/>
          <w:szCs w:val="20"/>
        </w:rPr>
        <w:t>The selected consulting firm shall be responsible for the overall technical leadership, coordination, quality assurance, analysis, and timely delivery of the assignment. Its respons</w:t>
      </w:r>
      <w:r>
        <w:rPr>
          <w:sz w:val="20"/>
          <w:szCs w:val="20"/>
        </w:rPr>
        <w:t>ibilities shall include, but not necessarily be limited to, the following:</w:t>
      </w:r>
    </w:p>
    <w:p w:rsidR="00395BFB" w:rsidRDefault="00280084">
      <w:pPr>
        <w:widowControl w:val="0"/>
        <w:numPr>
          <w:ilvl w:val="0"/>
          <w:numId w:val="2"/>
        </w:numPr>
        <w:rPr>
          <w:sz w:val="20"/>
          <w:szCs w:val="20"/>
        </w:rPr>
      </w:pPr>
      <w:r>
        <w:rPr>
          <w:sz w:val="20"/>
          <w:szCs w:val="20"/>
        </w:rPr>
        <w:t xml:space="preserve"> Lead the overall planning, design, and execution of the assignment in accordance with the approved methodology, timeline, and deliverables.</w:t>
      </w:r>
    </w:p>
    <w:p w:rsidR="00395BFB" w:rsidRDefault="00280084">
      <w:pPr>
        <w:widowControl w:val="0"/>
        <w:numPr>
          <w:ilvl w:val="0"/>
          <w:numId w:val="2"/>
        </w:numPr>
        <w:rPr>
          <w:sz w:val="20"/>
          <w:szCs w:val="20"/>
        </w:rPr>
      </w:pPr>
      <w:r>
        <w:rPr>
          <w:sz w:val="20"/>
          <w:szCs w:val="20"/>
        </w:rPr>
        <w:t>Review relevant project documents, datas</w:t>
      </w:r>
      <w:r>
        <w:rPr>
          <w:sz w:val="20"/>
          <w:szCs w:val="20"/>
        </w:rPr>
        <w:t>ets, and background materials required to carry out the assessment.</w:t>
      </w:r>
    </w:p>
    <w:p w:rsidR="00395BFB" w:rsidRDefault="00280084">
      <w:pPr>
        <w:widowControl w:val="0"/>
        <w:numPr>
          <w:ilvl w:val="0"/>
          <w:numId w:val="2"/>
        </w:numPr>
        <w:rPr>
          <w:sz w:val="20"/>
          <w:szCs w:val="20"/>
        </w:rPr>
      </w:pPr>
      <w:r>
        <w:rPr>
          <w:sz w:val="20"/>
          <w:szCs w:val="20"/>
        </w:rPr>
        <w:t xml:space="preserve">Develop and finalize all required study tools, protocols, field guidelines, and analytical frameworks in consultation with </w:t>
      </w:r>
      <w:proofErr w:type="spellStart"/>
      <w:r>
        <w:rPr>
          <w:sz w:val="20"/>
          <w:szCs w:val="20"/>
        </w:rPr>
        <w:t>iDE</w:t>
      </w:r>
      <w:proofErr w:type="spellEnd"/>
      <w:r>
        <w:rPr>
          <w:sz w:val="20"/>
          <w:szCs w:val="20"/>
        </w:rPr>
        <w:t xml:space="preserve"> Bangladesh.</w:t>
      </w:r>
    </w:p>
    <w:p w:rsidR="00395BFB" w:rsidRDefault="00280084">
      <w:pPr>
        <w:widowControl w:val="0"/>
        <w:numPr>
          <w:ilvl w:val="0"/>
          <w:numId w:val="2"/>
        </w:numPr>
        <w:rPr>
          <w:sz w:val="20"/>
          <w:szCs w:val="20"/>
        </w:rPr>
      </w:pPr>
      <w:r>
        <w:rPr>
          <w:sz w:val="20"/>
          <w:szCs w:val="20"/>
        </w:rPr>
        <w:t>Recruit, train, supervise, and manage qualified field and technical personnel required for the assignment.</w:t>
      </w:r>
    </w:p>
    <w:p w:rsidR="00395BFB" w:rsidRDefault="00280084">
      <w:pPr>
        <w:widowControl w:val="0"/>
        <w:numPr>
          <w:ilvl w:val="0"/>
          <w:numId w:val="2"/>
        </w:numPr>
        <w:rPr>
          <w:sz w:val="20"/>
          <w:szCs w:val="20"/>
        </w:rPr>
      </w:pPr>
      <w:r>
        <w:rPr>
          <w:sz w:val="20"/>
          <w:szCs w:val="20"/>
        </w:rPr>
        <w:t>Ensure field implementation is conducted in line with agreed quality standards, ethical requirements, and data protection protocols.</w:t>
      </w:r>
    </w:p>
    <w:p w:rsidR="00395BFB" w:rsidRDefault="00280084">
      <w:pPr>
        <w:widowControl w:val="0"/>
        <w:numPr>
          <w:ilvl w:val="0"/>
          <w:numId w:val="2"/>
        </w:numPr>
        <w:rPr>
          <w:sz w:val="20"/>
          <w:szCs w:val="20"/>
        </w:rPr>
      </w:pPr>
      <w:r>
        <w:rPr>
          <w:sz w:val="20"/>
          <w:szCs w:val="20"/>
        </w:rPr>
        <w:t>Manage all quant</w:t>
      </w:r>
      <w:r>
        <w:rPr>
          <w:sz w:val="20"/>
          <w:szCs w:val="20"/>
        </w:rPr>
        <w:t>itative and qualitative data collection, processing, cleaning, analysis, and documentation in a secure and well-organized manner.</w:t>
      </w:r>
    </w:p>
    <w:p w:rsidR="00395BFB" w:rsidRDefault="00280084">
      <w:pPr>
        <w:widowControl w:val="0"/>
        <w:numPr>
          <w:ilvl w:val="0"/>
          <w:numId w:val="2"/>
        </w:numPr>
        <w:rPr>
          <w:sz w:val="20"/>
          <w:szCs w:val="20"/>
        </w:rPr>
      </w:pPr>
      <w:r>
        <w:rPr>
          <w:sz w:val="20"/>
          <w:szCs w:val="20"/>
        </w:rPr>
        <w:t xml:space="preserve">Maintain regular communication with </w:t>
      </w:r>
      <w:proofErr w:type="spellStart"/>
      <w:r>
        <w:rPr>
          <w:sz w:val="20"/>
          <w:szCs w:val="20"/>
        </w:rPr>
        <w:t>iDE</w:t>
      </w:r>
      <w:proofErr w:type="spellEnd"/>
      <w:r>
        <w:rPr>
          <w:sz w:val="20"/>
          <w:szCs w:val="20"/>
        </w:rPr>
        <w:t xml:space="preserve"> Bangladesh, provide progress updates, and promptly flag any risks, delays, or issues a</w:t>
      </w:r>
      <w:r>
        <w:rPr>
          <w:sz w:val="20"/>
          <w:szCs w:val="20"/>
        </w:rPr>
        <w:t>ffecting quality or timelines.</w:t>
      </w:r>
    </w:p>
    <w:p w:rsidR="00395BFB" w:rsidRDefault="00280084">
      <w:pPr>
        <w:widowControl w:val="0"/>
        <w:numPr>
          <w:ilvl w:val="0"/>
          <w:numId w:val="2"/>
        </w:numPr>
        <w:rPr>
          <w:sz w:val="20"/>
          <w:szCs w:val="20"/>
        </w:rPr>
      </w:pPr>
      <w:r>
        <w:rPr>
          <w:sz w:val="20"/>
          <w:szCs w:val="20"/>
        </w:rPr>
        <w:t>Prepare and submit all agreed deliverables, including reports, datasets, codebooks, analytical outputs, and presentation materials, within the agreed schedule.</w:t>
      </w:r>
    </w:p>
    <w:p w:rsidR="00395BFB" w:rsidRDefault="00280084">
      <w:pPr>
        <w:widowControl w:val="0"/>
        <w:numPr>
          <w:ilvl w:val="0"/>
          <w:numId w:val="2"/>
        </w:numPr>
        <w:rPr>
          <w:sz w:val="20"/>
          <w:szCs w:val="20"/>
        </w:rPr>
      </w:pPr>
      <w:r>
        <w:rPr>
          <w:sz w:val="20"/>
          <w:szCs w:val="20"/>
        </w:rPr>
        <w:t>Facilitate presentation, validation, and finalization of findings</w:t>
      </w:r>
      <w:r>
        <w:rPr>
          <w:sz w:val="20"/>
          <w:szCs w:val="20"/>
        </w:rPr>
        <w:t xml:space="preserve"> in consultation with </w:t>
      </w:r>
      <w:proofErr w:type="spellStart"/>
      <w:r>
        <w:rPr>
          <w:sz w:val="20"/>
          <w:szCs w:val="20"/>
        </w:rPr>
        <w:t>iDE</w:t>
      </w:r>
      <w:proofErr w:type="spellEnd"/>
      <w:r>
        <w:rPr>
          <w:sz w:val="20"/>
          <w:szCs w:val="20"/>
        </w:rPr>
        <w:t xml:space="preserve"> Bangladesh.</w:t>
      </w:r>
    </w:p>
    <w:p w:rsidR="00395BFB" w:rsidRDefault="00280084">
      <w:pPr>
        <w:widowControl w:val="0"/>
        <w:numPr>
          <w:ilvl w:val="0"/>
          <w:numId w:val="2"/>
        </w:numPr>
        <w:spacing w:after="240"/>
        <w:rPr>
          <w:sz w:val="20"/>
          <w:szCs w:val="20"/>
        </w:rPr>
      </w:pPr>
      <w:r>
        <w:rPr>
          <w:sz w:val="20"/>
          <w:szCs w:val="20"/>
        </w:rPr>
        <w:t xml:space="preserve">Maintain confidentiality of all project information, documents, and data shared by or produced for </w:t>
      </w:r>
      <w:proofErr w:type="spellStart"/>
      <w:r>
        <w:rPr>
          <w:sz w:val="20"/>
          <w:szCs w:val="20"/>
        </w:rPr>
        <w:t>iDE</w:t>
      </w:r>
      <w:proofErr w:type="spellEnd"/>
      <w:r>
        <w:rPr>
          <w:sz w:val="20"/>
          <w:szCs w:val="20"/>
        </w:rPr>
        <w:t xml:space="preserve"> Bangladesh under this assignment.</w:t>
      </w:r>
    </w:p>
    <w:p w:rsidR="00395BFB" w:rsidRDefault="00280084">
      <w:pPr>
        <w:widowControl w:val="0"/>
        <w:pBdr>
          <w:top w:val="nil"/>
          <w:left w:val="nil"/>
          <w:bottom w:val="nil"/>
          <w:right w:val="nil"/>
          <w:between w:val="nil"/>
        </w:pBdr>
        <w:spacing w:line="276" w:lineRule="auto"/>
        <w:jc w:val="both"/>
        <w:rPr>
          <w:i/>
          <w:iCs/>
          <w:sz w:val="20"/>
          <w:szCs w:val="20"/>
        </w:rPr>
      </w:pPr>
      <w:r>
        <w:rPr>
          <w:i/>
          <w:iCs/>
          <w:sz w:val="20"/>
          <w:szCs w:val="20"/>
        </w:rPr>
        <w:t>**</w:t>
      </w:r>
      <w:r>
        <w:rPr>
          <w:i/>
          <w:iCs/>
          <w:sz w:val="20"/>
          <w:szCs w:val="20"/>
        </w:rPr>
        <w:t xml:space="preserve">Key deliverables shall be submitted to </w:t>
      </w:r>
      <w:proofErr w:type="spellStart"/>
      <w:r>
        <w:rPr>
          <w:i/>
          <w:iCs/>
          <w:sz w:val="20"/>
          <w:szCs w:val="20"/>
        </w:rPr>
        <w:t>iDE</w:t>
      </w:r>
      <w:proofErr w:type="spellEnd"/>
      <w:r>
        <w:rPr>
          <w:i/>
          <w:iCs/>
          <w:sz w:val="20"/>
          <w:szCs w:val="20"/>
        </w:rPr>
        <w:t xml:space="preserve"> Bangladesh for review and approval i</w:t>
      </w:r>
      <w:r>
        <w:rPr>
          <w:i/>
          <w:iCs/>
          <w:sz w:val="20"/>
          <w:szCs w:val="20"/>
        </w:rPr>
        <w:t xml:space="preserve">n accordance with the agreed </w:t>
      </w:r>
      <w:proofErr w:type="gramStart"/>
      <w:r>
        <w:rPr>
          <w:i/>
          <w:iCs/>
          <w:sz w:val="20"/>
          <w:szCs w:val="20"/>
        </w:rPr>
        <w:t>workplan.*</w:t>
      </w:r>
      <w:proofErr w:type="gramEnd"/>
      <w:r>
        <w:rPr>
          <w:i/>
          <w:iCs/>
          <w:sz w:val="20"/>
          <w:szCs w:val="20"/>
        </w:rPr>
        <w:t>*</w:t>
      </w:r>
    </w:p>
    <w:p w:rsidR="00395BFB" w:rsidRDefault="00280084">
      <w:pPr>
        <w:widowControl w:val="0"/>
        <w:numPr>
          <w:ilvl w:val="0"/>
          <w:numId w:val="12"/>
        </w:numPr>
        <w:tabs>
          <w:tab w:val="left" w:pos="450"/>
        </w:tabs>
        <w:spacing w:before="200" w:after="120" w:line="276" w:lineRule="auto"/>
        <w:ind w:left="270" w:hanging="270"/>
        <w:jc w:val="both"/>
        <w:rPr>
          <w:b/>
          <w:bCs/>
          <w:color w:val="FF5F4A"/>
          <w:sz w:val="20"/>
          <w:szCs w:val="20"/>
          <w:highlight w:val="white"/>
        </w:rPr>
      </w:pPr>
      <w:r>
        <w:rPr>
          <w:b/>
          <w:bCs/>
          <w:color w:val="EA4D39"/>
          <w:sz w:val="20"/>
          <w:szCs w:val="20"/>
          <w:highlight w:val="white"/>
        </w:rPr>
        <w:lastRenderedPageBreak/>
        <w:t xml:space="preserve">Major Responsibilities of </w:t>
      </w:r>
      <w:proofErr w:type="spellStart"/>
      <w:r>
        <w:rPr>
          <w:b/>
          <w:bCs/>
          <w:color w:val="EA4D39"/>
          <w:sz w:val="20"/>
          <w:szCs w:val="20"/>
          <w:highlight w:val="white"/>
        </w:rPr>
        <w:t>iDE</w:t>
      </w:r>
      <w:proofErr w:type="spellEnd"/>
    </w:p>
    <w:p w:rsidR="00395BFB" w:rsidRDefault="00280084">
      <w:pPr>
        <w:widowControl w:val="0"/>
        <w:spacing w:before="240" w:after="240" w:line="276" w:lineRule="auto"/>
        <w:jc w:val="both"/>
        <w:rPr>
          <w:sz w:val="20"/>
          <w:szCs w:val="20"/>
        </w:rPr>
      </w:pPr>
      <w:proofErr w:type="spellStart"/>
      <w:r>
        <w:rPr>
          <w:sz w:val="20"/>
          <w:szCs w:val="20"/>
        </w:rPr>
        <w:t>iDE</w:t>
      </w:r>
      <w:proofErr w:type="spellEnd"/>
      <w:r>
        <w:rPr>
          <w:sz w:val="20"/>
          <w:szCs w:val="20"/>
        </w:rPr>
        <w:t xml:space="preserve"> Bangladesh will provide the consultant/firm with the necessary support to undertake and implement the assignment. Its responsibilities will include the following:</w:t>
      </w:r>
    </w:p>
    <w:p w:rsidR="00395BFB" w:rsidRDefault="00280084">
      <w:pPr>
        <w:widowControl w:val="0"/>
        <w:numPr>
          <w:ilvl w:val="0"/>
          <w:numId w:val="3"/>
        </w:numPr>
        <w:spacing w:before="240" w:line="276" w:lineRule="auto"/>
        <w:rPr>
          <w:sz w:val="20"/>
          <w:szCs w:val="20"/>
        </w:rPr>
      </w:pPr>
      <w:r>
        <w:rPr>
          <w:sz w:val="20"/>
          <w:szCs w:val="20"/>
        </w:rPr>
        <w:t xml:space="preserve">Provide relevant project documents, including the approved </w:t>
      </w:r>
      <w:proofErr w:type="spellStart"/>
      <w:r>
        <w:rPr>
          <w:sz w:val="20"/>
          <w:szCs w:val="20"/>
        </w:rPr>
        <w:t>logframe</w:t>
      </w:r>
      <w:proofErr w:type="spellEnd"/>
      <w:r>
        <w:rPr>
          <w:sz w:val="20"/>
          <w:szCs w:val="20"/>
        </w:rPr>
        <w:t>, PITT, indicator definitions, and available monitoring data.</w:t>
      </w:r>
    </w:p>
    <w:p w:rsidR="00395BFB" w:rsidRDefault="00280084">
      <w:pPr>
        <w:widowControl w:val="0"/>
        <w:numPr>
          <w:ilvl w:val="0"/>
          <w:numId w:val="3"/>
        </w:numPr>
        <w:spacing w:line="276" w:lineRule="auto"/>
        <w:rPr>
          <w:sz w:val="20"/>
          <w:szCs w:val="20"/>
        </w:rPr>
      </w:pPr>
      <w:r>
        <w:rPr>
          <w:sz w:val="20"/>
          <w:szCs w:val="20"/>
        </w:rPr>
        <w:t>Facilitate coordination with project teams and relevant stakeholders, as needed.</w:t>
      </w:r>
      <w:r>
        <w:rPr>
          <w:sz w:val="20"/>
          <w:szCs w:val="20"/>
        </w:rPr>
        <w:br/>
        <w:t>Review and provide consolidated feedback on ke</w:t>
      </w:r>
      <w:r>
        <w:rPr>
          <w:sz w:val="20"/>
          <w:szCs w:val="20"/>
        </w:rPr>
        <w:t>y deliverables, including the inception report, draft tools, draft report, and final report.</w:t>
      </w:r>
    </w:p>
    <w:p w:rsidR="00395BFB" w:rsidRDefault="00280084">
      <w:pPr>
        <w:widowControl w:val="0"/>
        <w:numPr>
          <w:ilvl w:val="0"/>
          <w:numId w:val="3"/>
        </w:numPr>
        <w:spacing w:line="276" w:lineRule="auto"/>
        <w:rPr>
          <w:sz w:val="20"/>
          <w:szCs w:val="20"/>
        </w:rPr>
      </w:pPr>
      <w:r>
        <w:rPr>
          <w:sz w:val="20"/>
          <w:szCs w:val="20"/>
        </w:rPr>
        <w:t>Participate in validation and sense-making processes related to the study findings.</w:t>
      </w:r>
    </w:p>
    <w:p w:rsidR="00395BFB" w:rsidRDefault="00280084">
      <w:pPr>
        <w:widowControl w:val="0"/>
        <w:numPr>
          <w:ilvl w:val="0"/>
          <w:numId w:val="3"/>
        </w:numPr>
        <w:spacing w:line="276" w:lineRule="auto"/>
        <w:rPr>
          <w:sz w:val="20"/>
          <w:szCs w:val="20"/>
        </w:rPr>
      </w:pPr>
      <w:r>
        <w:rPr>
          <w:sz w:val="20"/>
          <w:szCs w:val="20"/>
        </w:rPr>
        <w:t>Approve final deliverables in accordance with the agreed workplan.</w:t>
      </w:r>
    </w:p>
    <w:p w:rsidR="00395BFB" w:rsidRDefault="00280084">
      <w:pPr>
        <w:widowControl w:val="0"/>
        <w:numPr>
          <w:ilvl w:val="0"/>
          <w:numId w:val="3"/>
        </w:numPr>
        <w:spacing w:line="276" w:lineRule="auto"/>
        <w:rPr>
          <w:sz w:val="20"/>
          <w:szCs w:val="20"/>
        </w:rPr>
      </w:pPr>
      <w:r>
        <w:rPr>
          <w:sz w:val="20"/>
          <w:szCs w:val="20"/>
        </w:rPr>
        <w:t>Disburse pay</w:t>
      </w:r>
      <w:r>
        <w:rPr>
          <w:sz w:val="20"/>
          <w:szCs w:val="20"/>
        </w:rPr>
        <w:t>ment as per the agreed schedule in the contract.</w:t>
      </w:r>
    </w:p>
    <w:p w:rsidR="00395BFB" w:rsidRDefault="00280084">
      <w:pPr>
        <w:widowControl w:val="0"/>
        <w:numPr>
          <w:ilvl w:val="0"/>
          <w:numId w:val="12"/>
        </w:numPr>
        <w:pBdr>
          <w:top w:val="nil"/>
          <w:left w:val="nil"/>
          <w:bottom w:val="nil"/>
          <w:right w:val="nil"/>
          <w:between w:val="nil"/>
        </w:pBdr>
        <w:tabs>
          <w:tab w:val="left" w:pos="450"/>
        </w:tabs>
        <w:spacing w:before="200" w:after="120" w:line="276" w:lineRule="auto"/>
        <w:ind w:left="270" w:hanging="270"/>
        <w:jc w:val="both"/>
        <w:rPr>
          <w:b/>
          <w:bCs/>
          <w:color w:val="FF5F4A"/>
          <w:sz w:val="20"/>
          <w:szCs w:val="20"/>
          <w:highlight w:val="white"/>
        </w:rPr>
      </w:pPr>
      <w:r>
        <w:rPr>
          <w:b/>
          <w:bCs/>
          <w:color w:val="EA4D39"/>
          <w:sz w:val="20"/>
          <w:szCs w:val="20"/>
          <w:highlight w:val="white"/>
        </w:rPr>
        <w:t>Tentative Task Schedule</w:t>
      </w:r>
    </w:p>
    <w:p w:rsidR="00395BFB" w:rsidRDefault="00280084">
      <w:pPr>
        <w:widowControl w:val="0"/>
        <w:spacing w:before="200" w:after="200" w:line="276" w:lineRule="auto"/>
        <w:jc w:val="both"/>
        <w:rPr>
          <w:sz w:val="20"/>
          <w:szCs w:val="20"/>
        </w:rPr>
      </w:pPr>
      <w:r>
        <w:rPr>
          <w:sz w:val="20"/>
          <w:szCs w:val="20"/>
        </w:rPr>
        <w:t xml:space="preserve">The assignment is expected to commence shortly after contract award and to be completed within approximately 8 weeks (2 months) from the date of signing. The consultant shall propose </w:t>
      </w:r>
      <w:r>
        <w:rPr>
          <w:sz w:val="20"/>
          <w:szCs w:val="20"/>
        </w:rPr>
        <w:t>a phase-wise workplan covering inception, tool finalization, training and piloting, field data collection, analysis, validation/sense-making, and final reporting.</w:t>
      </w:r>
    </w:p>
    <w:sdt>
      <w:sdtPr>
        <w:tag w:val="goog_rdk_36"/>
        <w:id w:val="-1845645414"/>
        <w:lock w:val="contentLocked"/>
      </w:sdtPr>
      <w:sdtEndPr/>
      <w:sdtContent>
        <w:tbl>
          <w:tblPr>
            <w:tblStyle w:val="afb"/>
            <w:tblW w:w="10710" w:type="dxa"/>
            <w:tblInd w:w="-690" w:type="dxa"/>
            <w:tblBorders>
              <w:top w:val="nil"/>
              <w:left w:val="nil"/>
              <w:bottom w:val="nil"/>
              <w:right w:val="nil"/>
              <w:insideH w:val="nil"/>
              <w:insideV w:val="nil"/>
            </w:tblBorders>
            <w:tblLayout w:type="fixed"/>
            <w:tblLook w:val="0600" w:firstRow="0" w:lastRow="0" w:firstColumn="0" w:lastColumn="0" w:noHBand="1" w:noVBand="1"/>
          </w:tblPr>
          <w:tblGrid>
            <w:gridCol w:w="3030"/>
            <w:gridCol w:w="6075"/>
            <w:gridCol w:w="1605"/>
          </w:tblGrid>
          <w:tr w:rsidR="00395BFB">
            <w:trPr>
              <w:trHeight w:val="300"/>
            </w:trPr>
            <w:sdt>
              <w:sdtPr>
                <w:tag w:val="goog_rdk_0"/>
                <w:id w:val="-1198189655"/>
                <w:lock w:val="contentLocked"/>
              </w:sdtPr>
              <w:sdtEndPr/>
              <w:sdtContent>
                <w:tc>
                  <w:tcPr>
                    <w:tcW w:w="3030" w:type="dxa"/>
                    <w:tcBorders>
                      <w:top w:val="single" w:sz="5" w:space="0" w:color="284E3F"/>
                      <w:left w:val="single" w:sz="5" w:space="0" w:color="284E3F"/>
                      <w:bottom w:val="single" w:sz="5" w:space="0" w:color="284E3F"/>
                      <w:right w:val="single" w:sz="5" w:space="0" w:color="356854"/>
                    </w:tcBorders>
                    <w:shd w:val="clear" w:color="auto" w:fill="356854"/>
                    <w:tcMar>
                      <w:top w:w="0" w:type="dxa"/>
                      <w:left w:w="120" w:type="dxa"/>
                      <w:bottom w:w="0" w:type="dxa"/>
                      <w:right w:w="120" w:type="dxa"/>
                    </w:tcMar>
                    <w:vAlign w:val="center"/>
                  </w:tcPr>
                  <w:p w:rsidR="00395BFB" w:rsidRDefault="00280084">
                    <w:pPr>
                      <w:widowControl w:val="0"/>
                      <w:spacing w:line="276" w:lineRule="auto"/>
                      <w:jc w:val="center"/>
                      <w:rPr>
                        <w:rFonts w:ascii="Arial" w:eastAsia="Arial" w:hAnsi="Arial" w:cs="Arial"/>
                        <w:sz w:val="20"/>
                        <w:szCs w:val="20"/>
                      </w:rPr>
                    </w:pPr>
                    <w:r>
                      <w:rPr>
                        <w:b/>
                        <w:bCs/>
                        <w:color w:val="FFFFFF"/>
                        <w:sz w:val="20"/>
                        <w:szCs w:val="20"/>
                      </w:rPr>
                      <w:t>Task / Deliverable</w:t>
                    </w:r>
                  </w:p>
                </w:tc>
              </w:sdtContent>
            </w:sdt>
            <w:sdt>
              <w:sdtPr>
                <w:tag w:val="goog_rdk_1"/>
                <w:id w:val="-737540332"/>
                <w:lock w:val="contentLocked"/>
              </w:sdtPr>
              <w:sdtEndPr/>
              <w:sdtContent>
                <w:tc>
                  <w:tcPr>
                    <w:tcW w:w="6075" w:type="dxa"/>
                    <w:tcBorders>
                      <w:top w:val="single" w:sz="5" w:space="0" w:color="284E3F"/>
                      <w:left w:val="single" w:sz="5" w:space="0" w:color="CCCCCC"/>
                      <w:bottom w:val="single" w:sz="5" w:space="0" w:color="284E3F"/>
                      <w:right w:val="single" w:sz="5" w:space="0" w:color="356854"/>
                    </w:tcBorders>
                    <w:shd w:val="clear" w:color="auto" w:fill="356854"/>
                    <w:tcMar>
                      <w:top w:w="0" w:type="dxa"/>
                      <w:left w:w="120" w:type="dxa"/>
                      <w:bottom w:w="0" w:type="dxa"/>
                      <w:right w:w="120" w:type="dxa"/>
                    </w:tcMar>
                    <w:vAlign w:val="center"/>
                  </w:tcPr>
                  <w:p w:rsidR="00395BFB" w:rsidRDefault="00280084">
                    <w:pPr>
                      <w:widowControl w:val="0"/>
                      <w:spacing w:line="276" w:lineRule="auto"/>
                      <w:jc w:val="center"/>
                      <w:rPr>
                        <w:rFonts w:ascii="Arial" w:eastAsia="Arial" w:hAnsi="Arial" w:cs="Arial"/>
                        <w:sz w:val="20"/>
                        <w:szCs w:val="20"/>
                      </w:rPr>
                    </w:pPr>
                    <w:r>
                      <w:rPr>
                        <w:b/>
                        <w:bCs/>
                        <w:color w:val="FFFFFF"/>
                        <w:sz w:val="20"/>
                        <w:szCs w:val="20"/>
                      </w:rPr>
                      <w:t>Key Contents</w:t>
                    </w:r>
                  </w:p>
                </w:tc>
              </w:sdtContent>
            </w:sdt>
            <w:sdt>
              <w:sdtPr>
                <w:tag w:val="goog_rdk_2"/>
                <w:id w:val="-973418285"/>
                <w:lock w:val="contentLocked"/>
              </w:sdtPr>
              <w:sdtEndPr/>
              <w:sdtContent>
                <w:tc>
                  <w:tcPr>
                    <w:tcW w:w="1605" w:type="dxa"/>
                    <w:tcBorders>
                      <w:top w:val="single" w:sz="5" w:space="0" w:color="284E3F"/>
                      <w:left w:val="single" w:sz="5" w:space="0" w:color="CCCCCC"/>
                      <w:bottom w:val="single" w:sz="5" w:space="0" w:color="284E3F"/>
                      <w:right w:val="single" w:sz="5" w:space="0" w:color="284E3F"/>
                    </w:tcBorders>
                    <w:shd w:val="clear" w:color="auto" w:fill="356854"/>
                    <w:tcMar>
                      <w:top w:w="0" w:type="dxa"/>
                      <w:left w:w="120" w:type="dxa"/>
                      <w:bottom w:w="0" w:type="dxa"/>
                      <w:right w:w="120" w:type="dxa"/>
                    </w:tcMar>
                    <w:vAlign w:val="center"/>
                  </w:tcPr>
                  <w:p w:rsidR="00395BFB" w:rsidRDefault="00280084">
                    <w:pPr>
                      <w:widowControl w:val="0"/>
                      <w:spacing w:line="276" w:lineRule="auto"/>
                      <w:jc w:val="center"/>
                      <w:rPr>
                        <w:rFonts w:ascii="Arial" w:eastAsia="Arial" w:hAnsi="Arial" w:cs="Arial"/>
                        <w:sz w:val="20"/>
                        <w:szCs w:val="20"/>
                      </w:rPr>
                    </w:pPr>
                    <w:r>
                      <w:rPr>
                        <w:b/>
                        <w:bCs/>
                        <w:color w:val="FFFFFF"/>
                        <w:sz w:val="20"/>
                        <w:szCs w:val="20"/>
                      </w:rPr>
                      <w:t>Indicative Timeline</w:t>
                    </w:r>
                  </w:p>
                </w:tc>
              </w:sdtContent>
            </w:sdt>
          </w:tr>
          <w:tr w:rsidR="00395BFB">
            <w:trPr>
              <w:trHeight w:val="297"/>
            </w:trPr>
            <w:sdt>
              <w:sdtPr>
                <w:tag w:val="goog_rdk_3"/>
                <w:id w:val="-1404082146"/>
                <w:lock w:val="contentLocked"/>
              </w:sdtPr>
              <w:sdtEndPr/>
              <w:sdtContent>
                <w:tc>
                  <w:tcPr>
                    <w:tcW w:w="3030" w:type="dxa"/>
                    <w:tcBorders>
                      <w:top w:val="single" w:sz="5" w:space="0" w:color="CCCCCC"/>
                      <w:left w:val="single" w:sz="5" w:space="0" w:color="284E3F"/>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Kick-off meeting and detailed workplan</w:t>
                    </w:r>
                  </w:p>
                </w:tc>
              </w:sdtContent>
            </w:sdt>
            <w:sdt>
              <w:sdtPr>
                <w:tag w:val="goog_rdk_4"/>
                <w:id w:val="-1351430539"/>
                <w:lock w:val="contentLocked"/>
              </w:sdtPr>
              <w:sdtEndPr/>
              <w:sdtContent>
                <w:tc>
                  <w:tcPr>
                    <w:tcW w:w="6075"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Finalize scope, coordination mechanism, timeline, and data access requirements</w:t>
                    </w:r>
                  </w:p>
                </w:tc>
              </w:sdtContent>
            </w:sdt>
            <w:sdt>
              <w:sdtPr>
                <w:tag w:val="goog_rdk_5"/>
                <w:id w:val="-1640958648"/>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1</w:t>
                    </w:r>
                  </w:p>
                </w:tc>
              </w:sdtContent>
            </w:sdt>
          </w:tr>
          <w:tr w:rsidR="00395BFB">
            <w:trPr>
              <w:trHeight w:val="435"/>
            </w:trPr>
            <w:sdt>
              <w:sdtPr>
                <w:tag w:val="goog_rdk_6"/>
                <w:id w:val="1135128080"/>
                <w:lock w:val="contentLocked"/>
              </w:sdtPr>
              <w:sdtEndPr/>
              <w:sdtContent>
                <w:tc>
                  <w:tcPr>
                    <w:tcW w:w="3030" w:type="dxa"/>
                    <w:tcBorders>
                      <w:top w:val="single" w:sz="5" w:space="0" w:color="CCCCCC"/>
                      <w:left w:val="single" w:sz="5" w:space="0" w:color="284E3F"/>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Inception phase</w:t>
                    </w:r>
                  </w:p>
                </w:tc>
              </w:sdtContent>
            </w:sdt>
            <w:sdt>
              <w:sdtPr>
                <w:tag w:val="goog_rdk_7"/>
                <w:id w:val="688899245"/>
                <w:lock w:val="contentLocked"/>
              </w:sdtPr>
              <w:sdtEndPr/>
              <w:sdtContent>
                <w:tc>
                  <w:tcPr>
                    <w:tcW w:w="6075" w:type="dxa"/>
                    <w:tcBorders>
                      <w:top w:val="single" w:sz="5" w:space="0" w:color="CCCCCC"/>
                      <w:left w:val="single" w:sz="5" w:space="0" w:color="CCCCCC"/>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Document review, refinement of methodology, indicator mapping, sampling approach, research questions, and analytical framework</w:t>
                    </w:r>
                  </w:p>
                </w:tc>
              </w:sdtContent>
            </w:sdt>
            <w:sdt>
              <w:sdtPr>
                <w:tag w:val="goog_rdk_8"/>
                <w:id w:val="-422648192"/>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1–2</w:t>
                    </w:r>
                  </w:p>
                </w:tc>
              </w:sdtContent>
            </w:sdt>
          </w:tr>
          <w:tr w:rsidR="00395BFB">
            <w:trPr>
              <w:trHeight w:val="147"/>
            </w:trPr>
            <w:sdt>
              <w:sdtPr>
                <w:tag w:val="goog_rdk_9"/>
                <w:id w:val="-1241659005"/>
                <w:lock w:val="contentLocked"/>
              </w:sdtPr>
              <w:sdtEndPr/>
              <w:sdtContent>
                <w:tc>
                  <w:tcPr>
                    <w:tcW w:w="3030" w:type="dxa"/>
                    <w:tcBorders>
                      <w:top w:val="single" w:sz="5" w:space="0" w:color="CCCCCC"/>
                      <w:left w:val="single" w:sz="5" w:space="0" w:color="284E3F"/>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Submission of inception report</w:t>
                    </w:r>
                  </w:p>
                </w:tc>
              </w:sdtContent>
            </w:sdt>
            <w:sdt>
              <w:sdtPr>
                <w:tag w:val="goog_rdk_10"/>
                <w:id w:val="-232341671"/>
                <w:lock w:val="contentLocked"/>
              </w:sdtPr>
              <w:sdtEndPr/>
              <w:sdtContent>
                <w:tc>
                  <w:tcPr>
                    <w:tcW w:w="6075"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Final methodology, tools plan, DQA plan, ethical protocol, and workplan</w:t>
                    </w:r>
                  </w:p>
                </w:tc>
              </w:sdtContent>
            </w:sdt>
            <w:sdt>
              <w:sdtPr>
                <w:tag w:val="goog_rdk_11"/>
                <w:id w:val="267293724"/>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End of Week 2</w:t>
                    </w:r>
                  </w:p>
                </w:tc>
              </w:sdtContent>
            </w:sdt>
          </w:tr>
          <w:tr w:rsidR="00395BFB">
            <w:trPr>
              <w:trHeight w:val="162"/>
            </w:trPr>
            <w:sdt>
              <w:sdtPr>
                <w:tag w:val="goog_rdk_12"/>
                <w:id w:val="1021569373"/>
                <w:lock w:val="contentLocked"/>
              </w:sdtPr>
              <w:sdtEndPr/>
              <w:sdtContent>
                <w:tc>
                  <w:tcPr>
                    <w:tcW w:w="3030" w:type="dxa"/>
                    <w:tcBorders>
                      <w:top w:val="single" w:sz="5" w:space="0" w:color="CCCCCC"/>
                      <w:left w:val="single" w:sz="5" w:space="0" w:color="284E3F"/>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Tool development and finalization</w:t>
                    </w:r>
                  </w:p>
                </w:tc>
              </w:sdtContent>
            </w:sdt>
            <w:sdt>
              <w:sdtPr>
                <w:tag w:val="goog_rdk_13"/>
                <w:id w:val="2121006634"/>
                <w:lock w:val="contentLocked"/>
              </w:sdtPr>
              <w:sdtEndPr/>
              <w:sdtContent>
                <w:tc>
                  <w:tcPr>
                    <w:tcW w:w="6075" w:type="dxa"/>
                    <w:tcBorders>
                      <w:top w:val="single" w:sz="5" w:space="0" w:color="CCCCCC"/>
                      <w:left w:val="single" w:sz="5" w:space="0" w:color="CCCCCC"/>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Quantitative, qualitative, market, and NE data collection tools finalized</w:t>
                    </w:r>
                  </w:p>
                </w:tc>
              </w:sdtContent>
            </w:sdt>
            <w:sdt>
              <w:sdtPr>
                <w:tag w:val="goog_rdk_14"/>
                <w:id w:val="1285877694"/>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3</w:t>
                    </w:r>
                  </w:p>
                </w:tc>
              </w:sdtContent>
            </w:sdt>
          </w:tr>
          <w:tr w:rsidR="00395BFB">
            <w:trPr>
              <w:trHeight w:val="495"/>
            </w:trPr>
            <w:sdt>
              <w:sdtPr>
                <w:tag w:val="goog_rdk_15"/>
                <w:id w:val="83079750"/>
                <w:lock w:val="contentLocked"/>
              </w:sdtPr>
              <w:sdtEndPr/>
              <w:sdtContent>
                <w:tc>
                  <w:tcPr>
                    <w:tcW w:w="3030" w:type="dxa"/>
                    <w:tcBorders>
                      <w:top w:val="single" w:sz="5" w:space="0" w:color="CCCCCC"/>
                      <w:left w:val="single" w:sz="5" w:space="0" w:color="284E3F"/>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Training and piloting</w:t>
                    </w:r>
                  </w:p>
                </w:tc>
              </w:sdtContent>
            </w:sdt>
            <w:sdt>
              <w:sdtPr>
                <w:tag w:val="goog_rdk_16"/>
                <w:id w:val="2139752919"/>
                <w:lock w:val="contentLocked"/>
              </w:sdtPr>
              <w:sdtEndPr/>
              <w:sdtContent>
                <w:tc>
                  <w:tcPr>
                    <w:tcW w:w="6075"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Training of field team, piloting of tools, and final revisions</w:t>
                    </w:r>
                  </w:p>
                </w:tc>
              </w:sdtContent>
            </w:sdt>
            <w:sdt>
              <w:sdtPr>
                <w:tag w:val="goog_rdk_17"/>
                <w:id w:val="1275899363"/>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3</w:t>
                    </w:r>
                  </w:p>
                </w:tc>
              </w:sdtContent>
            </w:sdt>
          </w:tr>
          <w:tr w:rsidR="00395BFB">
            <w:trPr>
              <w:trHeight w:val="462"/>
            </w:trPr>
            <w:sdt>
              <w:sdtPr>
                <w:tag w:val="goog_rdk_18"/>
                <w:id w:val="-628616213"/>
                <w:lock w:val="contentLocked"/>
              </w:sdtPr>
              <w:sdtEndPr/>
              <w:sdtContent>
                <w:tc>
                  <w:tcPr>
                    <w:tcW w:w="3030" w:type="dxa"/>
                    <w:tcBorders>
                      <w:top w:val="single" w:sz="5" w:space="0" w:color="CCCCCC"/>
                      <w:left w:val="single" w:sz="5" w:space="0" w:color="284E3F"/>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Field data collection</w:t>
                    </w:r>
                  </w:p>
                </w:tc>
              </w:sdtContent>
            </w:sdt>
            <w:sdt>
              <w:sdtPr>
                <w:tag w:val="goog_rdk_19"/>
                <w:id w:val="-663610552"/>
                <w:lock w:val="contentLocked"/>
              </w:sdtPr>
              <w:sdtEndPr/>
              <w:sdtContent>
                <w:tc>
                  <w:tcPr>
                    <w:tcW w:w="6075" w:type="dxa"/>
                    <w:tcBorders>
                      <w:top w:val="single" w:sz="5" w:space="0" w:color="CCCCCC"/>
                      <w:left w:val="single" w:sz="5" w:space="0" w:color="CCCCCC"/>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Quantitative and qualitative data collection across the study areas</w:t>
                    </w:r>
                  </w:p>
                </w:tc>
              </w:sdtContent>
            </w:sdt>
            <w:sdt>
              <w:sdtPr>
                <w:tag w:val="goog_rdk_20"/>
                <w:id w:val="204319599"/>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4–6</w:t>
                    </w:r>
                  </w:p>
                </w:tc>
              </w:sdtContent>
            </w:sdt>
          </w:tr>
          <w:tr w:rsidR="00395BFB">
            <w:sdt>
              <w:sdtPr>
                <w:tag w:val="goog_rdk_21"/>
                <w:id w:val="1386428229"/>
                <w:lock w:val="contentLocked"/>
              </w:sdtPr>
              <w:sdtEndPr/>
              <w:sdtContent>
                <w:tc>
                  <w:tcPr>
                    <w:tcW w:w="3030" w:type="dxa"/>
                    <w:tcBorders>
                      <w:top w:val="single" w:sz="5" w:space="0" w:color="CCCCCC"/>
                      <w:left w:val="single" w:sz="5" w:space="0" w:color="284E3F"/>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Field progress updates</w:t>
                    </w:r>
                  </w:p>
                </w:tc>
              </w:sdtContent>
            </w:sdt>
            <w:sdt>
              <w:sdtPr>
                <w:tag w:val="goog_rdk_22"/>
                <w:id w:val="-219366142"/>
                <w:lock w:val="contentLocked"/>
              </w:sdtPr>
              <w:sdtEndPr/>
              <w:sdtContent>
                <w:tc>
                  <w:tcPr>
                    <w:tcW w:w="6075"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Brief progress updates, data quality review, and issue tracking</w:t>
                    </w:r>
                  </w:p>
                </w:tc>
              </w:sdtContent>
            </w:sdt>
            <w:sdt>
              <w:sdtPr>
                <w:tag w:val="goog_rdk_23"/>
                <w:id w:val="-2080500799"/>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4–6</w:t>
                    </w:r>
                  </w:p>
                </w:tc>
              </w:sdtContent>
            </w:sdt>
          </w:tr>
          <w:tr w:rsidR="00395BFB">
            <w:trPr>
              <w:trHeight w:val="102"/>
            </w:trPr>
            <w:sdt>
              <w:sdtPr>
                <w:tag w:val="goog_rdk_24"/>
                <w:id w:val="1583021819"/>
                <w:lock w:val="contentLocked"/>
              </w:sdtPr>
              <w:sdtEndPr/>
              <w:sdtContent>
                <w:tc>
                  <w:tcPr>
                    <w:tcW w:w="3030" w:type="dxa"/>
                    <w:tcBorders>
                      <w:top w:val="single" w:sz="5" w:space="0" w:color="CCCCCC"/>
                      <w:left w:val="single" w:sz="5" w:space="0" w:color="284E3F"/>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Data cleaning and analysis</w:t>
                    </w:r>
                  </w:p>
                </w:tc>
              </w:sdtContent>
            </w:sdt>
            <w:sdt>
              <w:sdtPr>
                <w:tag w:val="goog_rdk_25"/>
                <w:id w:val="1082485810"/>
                <w:lock w:val="contentLocked"/>
              </w:sdtPr>
              <w:sdtEndPr/>
              <w:sdtContent>
                <w:tc>
                  <w:tcPr>
                    <w:tcW w:w="6075" w:type="dxa"/>
                    <w:tcBorders>
                      <w:top w:val="single" w:sz="5" w:space="0" w:color="CCCCCC"/>
                      <w:left w:val="single" w:sz="5" w:space="0" w:color="CCCCCC"/>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Data processing, cleaning, coding, and analysis of quantitative and qualitative data</w:t>
                    </w:r>
                  </w:p>
                </w:tc>
              </w:sdtContent>
            </w:sdt>
            <w:sdt>
              <w:sdtPr>
                <w:tag w:val="goog_rdk_26"/>
                <w:id w:val="1761615711"/>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6–7</w:t>
                    </w:r>
                  </w:p>
                </w:tc>
              </w:sdtContent>
            </w:sdt>
          </w:tr>
          <w:tr w:rsidR="00395BFB">
            <w:trPr>
              <w:trHeight w:val="735"/>
            </w:trPr>
            <w:sdt>
              <w:sdtPr>
                <w:tag w:val="goog_rdk_27"/>
                <w:id w:val="63955506"/>
                <w:lock w:val="contentLocked"/>
              </w:sdtPr>
              <w:sdtEndPr/>
              <w:sdtContent>
                <w:tc>
                  <w:tcPr>
                    <w:tcW w:w="3030" w:type="dxa"/>
                    <w:tcBorders>
                      <w:top w:val="single" w:sz="5" w:space="0" w:color="CCCCCC"/>
                      <w:left w:val="single" w:sz="5" w:space="0" w:color="284E3F"/>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Draft outputs submission</w:t>
                    </w:r>
                  </w:p>
                </w:tc>
              </w:sdtContent>
            </w:sdt>
            <w:sdt>
              <w:sdtPr>
                <w:tag w:val="goog_rdk_28"/>
                <w:id w:val="1148235561"/>
                <w:lock w:val="contentLocked"/>
              </w:sdtPr>
              <w:sdtEndPr/>
              <w:sdtContent>
                <w:tc>
                  <w:tcPr>
                    <w:tcW w:w="6075"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Draft technical notes, draft NE tiering framework, draft integrated report, and findings deck</w:t>
                    </w:r>
                  </w:p>
                </w:tc>
              </w:sdtContent>
            </w:sdt>
            <w:sdt>
              <w:sdtPr>
                <w:tag w:val="goog_rdk_29"/>
                <w:id w:val="-2036248280"/>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7</w:t>
                    </w:r>
                  </w:p>
                </w:tc>
              </w:sdtContent>
            </w:sdt>
          </w:tr>
          <w:tr w:rsidR="00395BFB">
            <w:trPr>
              <w:trHeight w:val="27"/>
            </w:trPr>
            <w:sdt>
              <w:sdtPr>
                <w:tag w:val="goog_rdk_30"/>
                <w:id w:val="2145453103"/>
                <w:lock w:val="contentLocked"/>
              </w:sdtPr>
              <w:sdtEndPr/>
              <w:sdtContent>
                <w:tc>
                  <w:tcPr>
                    <w:tcW w:w="3030" w:type="dxa"/>
                    <w:tcBorders>
                      <w:top w:val="single" w:sz="5" w:space="0" w:color="CCCCCC"/>
                      <w:left w:val="single" w:sz="5" w:space="0" w:color="284E3F"/>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Validation / sense-making workshop</w:t>
                    </w:r>
                  </w:p>
                </w:tc>
              </w:sdtContent>
            </w:sdt>
            <w:sdt>
              <w:sdtPr>
                <w:tag w:val="goog_rdk_31"/>
                <w:id w:val="-678095381"/>
                <w:lock w:val="contentLocked"/>
              </w:sdtPr>
              <w:sdtEndPr/>
              <w:sdtContent>
                <w:tc>
                  <w:tcPr>
                    <w:tcW w:w="6075" w:type="dxa"/>
                    <w:tcBorders>
                      <w:top w:val="single" w:sz="5" w:space="0" w:color="CCCCCC"/>
                      <w:left w:val="single" w:sz="5" w:space="0" w:color="CCCCCC"/>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The workshop should be designed for approximately 20–25 participants, likely including members of the program team, field implementation team, and selected relevant stakeholders or partner representatives, as agreed wit</w:t>
                    </w:r>
                    <w:r>
                      <w:rPr>
                        <w:color w:val="434343"/>
                        <w:sz w:val="20"/>
                        <w:szCs w:val="20"/>
                      </w:rPr>
                      <w:t>h iDE Bangladesh.</w:t>
                    </w:r>
                  </w:p>
                </w:tc>
              </w:sdtContent>
            </w:sdt>
            <w:sdt>
              <w:sdtPr>
                <w:tag w:val="goog_rdk_32"/>
                <w:id w:val="306945504"/>
                <w:lock w:val="contentLocked"/>
              </w:sdtPr>
              <w:sdtEndPr/>
              <w:sdtContent>
                <w:tc>
                  <w:tcPr>
                    <w:tcW w:w="1605" w:type="dxa"/>
                    <w:tcBorders>
                      <w:top w:val="single" w:sz="5" w:space="0" w:color="CCCCCC"/>
                      <w:left w:val="single" w:sz="5" w:space="0" w:color="CCCCCC"/>
                      <w:bottom w:val="single" w:sz="5" w:space="0" w:color="F6F8F9"/>
                      <w:right w:val="single" w:sz="5" w:space="0" w:color="284E3F"/>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Week 8</w:t>
                    </w:r>
                  </w:p>
                </w:tc>
              </w:sdtContent>
            </w:sdt>
          </w:tr>
          <w:tr w:rsidR="00395BFB">
            <w:sdt>
              <w:sdtPr>
                <w:tag w:val="goog_rdk_33"/>
                <w:id w:val="-2041942137"/>
                <w:lock w:val="contentLocked"/>
              </w:sdtPr>
              <w:sdtEndPr/>
              <w:sdtContent>
                <w:tc>
                  <w:tcPr>
                    <w:tcW w:w="3030" w:type="dxa"/>
                    <w:tcBorders>
                      <w:top w:val="single" w:sz="5" w:space="0" w:color="CCCCCC"/>
                      <w:left w:val="single" w:sz="5" w:space="0" w:color="284E3F"/>
                      <w:bottom w:val="single" w:sz="5" w:space="0" w:color="284E3F"/>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Final deliverables submission</w:t>
                    </w:r>
                  </w:p>
                </w:tc>
              </w:sdtContent>
            </w:sdt>
            <w:sdt>
              <w:sdtPr>
                <w:tag w:val="goog_rdk_34"/>
                <w:id w:val="-386216007"/>
                <w:lock w:val="contentLocked"/>
              </w:sdtPr>
              <w:sdtEndPr/>
              <w:sdtContent>
                <w:tc>
                  <w:tcPr>
                    <w:tcW w:w="6075" w:type="dxa"/>
                    <w:tcBorders>
                      <w:top w:val="single" w:sz="5" w:space="0" w:color="CCCCCC"/>
                      <w:left w:val="single" w:sz="5" w:space="0" w:color="CCCCCC"/>
                      <w:bottom w:val="single" w:sz="5" w:space="0" w:color="284E3F"/>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Final report, final technical notes, final NE tiering model, datasets, codebooks, and presentation deck</w:t>
                    </w:r>
                  </w:p>
                </w:tc>
              </w:sdtContent>
            </w:sdt>
            <w:sdt>
              <w:sdtPr>
                <w:tag w:val="goog_rdk_35"/>
                <w:id w:val="-1812831793"/>
                <w:lock w:val="contentLocked"/>
              </w:sdtPr>
              <w:sdtEndPr/>
              <w:sdtContent>
                <w:tc>
                  <w:tcPr>
                    <w:tcW w:w="1605" w:type="dxa"/>
                    <w:tcBorders>
                      <w:top w:val="single" w:sz="5" w:space="0" w:color="CCCCCC"/>
                      <w:left w:val="single" w:sz="5" w:space="0" w:color="CCCCCC"/>
                      <w:bottom w:val="single" w:sz="5" w:space="0" w:color="284E3F"/>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End of Week 8</w:t>
                    </w:r>
                  </w:p>
                </w:tc>
              </w:sdtContent>
            </w:sdt>
          </w:tr>
        </w:tbl>
      </w:sdtContent>
    </w:sdt>
    <w:p w:rsidR="00395BFB" w:rsidRDefault="00280084">
      <w:pPr>
        <w:widowControl w:val="0"/>
        <w:numPr>
          <w:ilvl w:val="0"/>
          <w:numId w:val="12"/>
        </w:numPr>
        <w:tabs>
          <w:tab w:val="left" w:pos="450"/>
        </w:tabs>
        <w:spacing w:before="200" w:after="120" w:line="276" w:lineRule="auto"/>
        <w:ind w:left="270" w:hanging="270"/>
        <w:jc w:val="both"/>
        <w:rPr>
          <w:b/>
          <w:bCs/>
          <w:color w:val="FF5F4A"/>
          <w:sz w:val="20"/>
          <w:szCs w:val="20"/>
          <w:highlight w:val="white"/>
        </w:rPr>
      </w:pPr>
      <w:r>
        <w:rPr>
          <w:b/>
          <w:bCs/>
          <w:color w:val="EA4D39"/>
          <w:sz w:val="20"/>
          <w:szCs w:val="20"/>
          <w:highlight w:val="white"/>
        </w:rPr>
        <w:lastRenderedPageBreak/>
        <w:t xml:space="preserve"> Deliverables and Schedule of Payment</w:t>
      </w:r>
    </w:p>
    <w:p w:rsidR="00395BFB" w:rsidRDefault="00280084">
      <w:pPr>
        <w:widowControl w:val="0"/>
        <w:tabs>
          <w:tab w:val="left" w:pos="450"/>
        </w:tabs>
        <w:spacing w:before="200" w:after="120" w:line="276" w:lineRule="auto"/>
        <w:jc w:val="both"/>
        <w:rPr>
          <w:b/>
          <w:bCs/>
          <w:i/>
          <w:iCs/>
          <w:color w:val="FF0000"/>
          <w:sz w:val="20"/>
          <w:szCs w:val="20"/>
        </w:rPr>
      </w:pPr>
      <w:r>
        <w:rPr>
          <w:sz w:val="20"/>
          <w:szCs w:val="20"/>
        </w:rPr>
        <w:t xml:space="preserve">The financial proposal (format attached) should include expert and data enumerator’s fees and expenses (including travel costs, accommodation &amp; food expenses, etc.). Payment will be made in four installments against approved deliverables. Depending on </w:t>
      </w:r>
      <w:proofErr w:type="spellStart"/>
      <w:r>
        <w:rPr>
          <w:sz w:val="20"/>
          <w:szCs w:val="20"/>
        </w:rPr>
        <w:t>iDE</w:t>
      </w:r>
      <w:proofErr w:type="spellEnd"/>
      <w:r>
        <w:rPr>
          <w:sz w:val="20"/>
          <w:szCs w:val="20"/>
        </w:rPr>
        <w:t xml:space="preserve"> </w:t>
      </w:r>
      <w:r>
        <w:rPr>
          <w:sz w:val="20"/>
          <w:szCs w:val="20"/>
        </w:rPr>
        <w:t>Bangladesh internal payment arrangements, payment will be processed through the applicable local payment channel(s), and the consulting firm must therefore be able to receive payment accordingly</w:t>
      </w:r>
      <w:r>
        <w:rPr>
          <w:i/>
          <w:iCs/>
          <w:sz w:val="20"/>
          <w:szCs w:val="20"/>
        </w:rPr>
        <w:t xml:space="preserve">. </w:t>
      </w:r>
      <w:r>
        <w:rPr>
          <w:b/>
          <w:bCs/>
          <w:i/>
          <w:iCs/>
          <w:color w:val="FF0000"/>
          <w:sz w:val="20"/>
          <w:szCs w:val="20"/>
        </w:rPr>
        <w:t>The payment schedule is as follows:</w:t>
      </w:r>
      <w:r>
        <w:rPr>
          <w:b/>
          <w:bCs/>
          <w:i/>
          <w:iCs/>
          <w:color w:val="FF0000"/>
          <w:sz w:val="20"/>
          <w:szCs w:val="20"/>
        </w:rPr>
        <w:br/>
      </w:r>
    </w:p>
    <w:sdt>
      <w:sdtPr>
        <w:tag w:val="goog_rdk_57"/>
        <w:id w:val="1178929631"/>
        <w:lock w:val="contentLocked"/>
      </w:sdtPr>
      <w:sdtEndPr/>
      <w:sdtContent>
        <w:tbl>
          <w:tblPr>
            <w:tblStyle w:val="afc"/>
            <w:tblW w:w="11145" w:type="dxa"/>
            <w:tblInd w:w="-930" w:type="dxa"/>
            <w:tblBorders>
              <w:top w:val="nil"/>
              <w:left w:val="nil"/>
              <w:bottom w:val="nil"/>
              <w:right w:val="nil"/>
              <w:insideH w:val="nil"/>
              <w:insideV w:val="nil"/>
            </w:tblBorders>
            <w:tblLayout w:type="fixed"/>
            <w:tblLook w:val="0600" w:firstRow="0" w:lastRow="0" w:firstColumn="0" w:lastColumn="0" w:noHBand="1" w:noVBand="1"/>
          </w:tblPr>
          <w:tblGrid>
            <w:gridCol w:w="1335"/>
            <w:gridCol w:w="6990"/>
            <w:gridCol w:w="1515"/>
            <w:gridCol w:w="1305"/>
          </w:tblGrid>
          <w:tr w:rsidR="00395BFB">
            <w:trPr>
              <w:trHeight w:val="300"/>
            </w:trPr>
            <w:sdt>
              <w:sdtPr>
                <w:tag w:val="goog_rdk_37"/>
                <w:id w:val="540063104"/>
                <w:lock w:val="contentLocked"/>
              </w:sdtPr>
              <w:sdtEndPr/>
              <w:sdtContent>
                <w:tc>
                  <w:tcPr>
                    <w:tcW w:w="1335" w:type="dxa"/>
                    <w:tcBorders>
                      <w:top w:val="single" w:sz="5" w:space="0" w:color="284E3F"/>
                      <w:left w:val="single" w:sz="5" w:space="0" w:color="284E3F"/>
                      <w:bottom w:val="single" w:sz="5" w:space="0" w:color="284E3F"/>
                      <w:right w:val="single" w:sz="5" w:space="0" w:color="356854"/>
                    </w:tcBorders>
                    <w:shd w:val="clear" w:color="auto" w:fill="356854"/>
                    <w:tcMar>
                      <w:top w:w="0" w:type="dxa"/>
                      <w:left w:w="120" w:type="dxa"/>
                      <w:bottom w:w="0" w:type="dxa"/>
                      <w:right w:w="120" w:type="dxa"/>
                    </w:tcMar>
                    <w:vAlign w:val="center"/>
                  </w:tcPr>
                  <w:p w:rsidR="00395BFB" w:rsidRDefault="00280084">
                    <w:pPr>
                      <w:widowControl w:val="0"/>
                      <w:pBdr>
                        <w:top w:val="nil"/>
                        <w:left w:val="nil"/>
                        <w:bottom w:val="nil"/>
                        <w:right w:val="nil"/>
                        <w:between w:val="nil"/>
                      </w:pBdr>
                      <w:spacing w:line="276" w:lineRule="auto"/>
                      <w:rPr>
                        <w:rFonts w:ascii="Arial" w:eastAsia="Arial" w:hAnsi="Arial" w:cs="Arial"/>
                        <w:sz w:val="20"/>
                        <w:szCs w:val="20"/>
                      </w:rPr>
                    </w:pPr>
                    <w:r>
                      <w:rPr>
                        <w:b/>
                        <w:bCs/>
                        <w:color w:val="FFFFFF"/>
                        <w:sz w:val="20"/>
                        <w:szCs w:val="20"/>
                      </w:rPr>
                      <w:t>Deliverable</w:t>
                    </w:r>
                  </w:p>
                </w:tc>
              </w:sdtContent>
            </w:sdt>
            <w:sdt>
              <w:sdtPr>
                <w:tag w:val="goog_rdk_38"/>
                <w:id w:val="1007457777"/>
                <w:lock w:val="contentLocked"/>
              </w:sdtPr>
              <w:sdtEndPr/>
              <w:sdtContent>
                <w:tc>
                  <w:tcPr>
                    <w:tcW w:w="6990" w:type="dxa"/>
                    <w:tcBorders>
                      <w:top w:val="single" w:sz="5" w:space="0" w:color="284E3F"/>
                      <w:left w:val="single" w:sz="5" w:space="0" w:color="CCCCCC"/>
                      <w:bottom w:val="single" w:sz="5" w:space="0" w:color="284E3F"/>
                      <w:right w:val="single" w:sz="5" w:space="0" w:color="356854"/>
                    </w:tcBorders>
                    <w:shd w:val="clear" w:color="auto" w:fill="356854"/>
                    <w:tcMar>
                      <w:top w:w="0" w:type="dxa"/>
                      <w:left w:w="120" w:type="dxa"/>
                      <w:bottom w:w="0" w:type="dxa"/>
                      <w:right w:w="120" w:type="dxa"/>
                    </w:tcMar>
                    <w:vAlign w:val="center"/>
                  </w:tcPr>
                  <w:p w:rsidR="00395BFB" w:rsidRDefault="00280084">
                    <w:pPr>
                      <w:widowControl w:val="0"/>
                      <w:spacing w:line="276" w:lineRule="auto"/>
                      <w:jc w:val="center"/>
                      <w:rPr>
                        <w:rFonts w:ascii="Arial" w:eastAsia="Arial" w:hAnsi="Arial" w:cs="Arial"/>
                        <w:sz w:val="20"/>
                        <w:szCs w:val="20"/>
                      </w:rPr>
                    </w:pPr>
                    <w:r>
                      <w:rPr>
                        <w:b/>
                        <w:bCs/>
                        <w:color w:val="FFFFFF"/>
                        <w:sz w:val="20"/>
                        <w:szCs w:val="20"/>
                      </w:rPr>
                      <w:t>Tasks / Linked Outputs</w:t>
                    </w:r>
                  </w:p>
                </w:tc>
              </w:sdtContent>
            </w:sdt>
            <w:sdt>
              <w:sdtPr>
                <w:tag w:val="goog_rdk_39"/>
                <w:id w:val="339215167"/>
                <w:lock w:val="contentLocked"/>
              </w:sdtPr>
              <w:sdtEndPr/>
              <w:sdtContent>
                <w:tc>
                  <w:tcPr>
                    <w:tcW w:w="1515" w:type="dxa"/>
                    <w:tcBorders>
                      <w:top w:val="single" w:sz="5" w:space="0" w:color="284E3F"/>
                      <w:left w:val="single" w:sz="5" w:space="0" w:color="CCCCCC"/>
                      <w:bottom w:val="single" w:sz="5" w:space="0" w:color="284E3F"/>
                      <w:right w:val="single" w:sz="5" w:space="0" w:color="356854"/>
                    </w:tcBorders>
                    <w:shd w:val="clear" w:color="auto" w:fill="356854"/>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b/>
                        <w:bCs/>
                        <w:color w:val="FFFFFF"/>
                        <w:sz w:val="20"/>
                        <w:szCs w:val="20"/>
                      </w:rPr>
                      <w:t>Timeline for Completion</w:t>
                    </w:r>
                  </w:p>
                </w:tc>
              </w:sdtContent>
            </w:sdt>
            <w:sdt>
              <w:sdtPr>
                <w:tag w:val="goog_rdk_40"/>
                <w:id w:val="-1562269621"/>
                <w:lock w:val="contentLocked"/>
              </w:sdtPr>
              <w:sdtEndPr/>
              <w:sdtContent>
                <w:tc>
                  <w:tcPr>
                    <w:tcW w:w="1305" w:type="dxa"/>
                    <w:tcBorders>
                      <w:top w:val="single" w:sz="5" w:space="0" w:color="284E3F"/>
                      <w:left w:val="single" w:sz="5" w:space="0" w:color="CCCCCC"/>
                      <w:bottom w:val="single" w:sz="5" w:space="0" w:color="284E3F"/>
                      <w:right w:val="single" w:sz="5" w:space="0" w:color="284E3F"/>
                    </w:tcBorders>
                    <w:shd w:val="clear" w:color="auto" w:fill="356854"/>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b/>
                        <w:bCs/>
                        <w:color w:val="FFFFFF"/>
                        <w:sz w:val="20"/>
                        <w:szCs w:val="20"/>
                      </w:rPr>
                      <w:t>Installment Value</w:t>
                    </w:r>
                  </w:p>
                </w:tc>
              </w:sdtContent>
            </w:sdt>
          </w:tr>
          <w:tr w:rsidR="00395BFB">
            <w:trPr>
              <w:trHeight w:val="930"/>
            </w:trPr>
            <w:sdt>
              <w:sdtPr>
                <w:tag w:val="goog_rdk_41"/>
                <w:id w:val="1780671946"/>
                <w:lock w:val="contentLocked"/>
              </w:sdtPr>
              <w:sdtEndPr/>
              <w:sdtContent>
                <w:tc>
                  <w:tcPr>
                    <w:tcW w:w="1335" w:type="dxa"/>
                    <w:tcBorders>
                      <w:top w:val="single" w:sz="5" w:space="0" w:color="CCCCCC"/>
                      <w:left w:val="single" w:sz="5" w:space="0" w:color="284E3F"/>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1st Deliverable</w:t>
                    </w:r>
                  </w:p>
                </w:tc>
              </w:sdtContent>
            </w:sdt>
            <w:sdt>
              <w:sdtPr>
                <w:tag w:val="goog_rdk_42"/>
                <w:id w:val="1280196119"/>
                <w:lock w:val="contentLocked"/>
              </w:sdtPr>
              <w:sdtEndPr/>
              <w:sdtContent>
                <w:tc>
                  <w:tcPr>
                    <w:tcW w:w="6990"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Inception phase completed: (a) Inception report covering final methodology, research questions, indicator mapping, sampling plan, DQA plan, ethical protocol, and workplan; (b) Abstract-to-Variable Matrix / analytical module framework finalized</w:t>
                    </w:r>
                  </w:p>
                </w:tc>
              </w:sdtContent>
            </w:sdt>
            <w:sdt>
              <w:sdtPr>
                <w:tag w:val="goog_rdk_43"/>
                <w:id w:val="-1979008250"/>
                <w:lock w:val="contentLocked"/>
              </w:sdtPr>
              <w:sdtEndPr/>
              <w:sdtContent>
                <w:tc>
                  <w:tcPr>
                    <w:tcW w:w="1515"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End of Wee</w:t>
                    </w:r>
                    <w:r>
                      <w:rPr>
                        <w:color w:val="434343"/>
                        <w:sz w:val="20"/>
                        <w:szCs w:val="20"/>
                      </w:rPr>
                      <w:t>k 2</w:t>
                    </w:r>
                  </w:p>
                </w:tc>
              </w:sdtContent>
            </w:sdt>
            <w:sdt>
              <w:sdtPr>
                <w:tag w:val="goog_rdk_44"/>
                <w:id w:val="1872631837"/>
                <w:lock w:val="contentLocked"/>
              </w:sdtPr>
              <w:sdtEndPr/>
              <w:sdtContent>
                <w:tc>
                  <w:tcPr>
                    <w:tcW w:w="1305" w:type="dxa"/>
                    <w:tcBorders>
                      <w:top w:val="single" w:sz="5" w:space="0" w:color="CCCCCC"/>
                      <w:left w:val="single" w:sz="5" w:space="0" w:color="CCCCCC"/>
                      <w:bottom w:val="single" w:sz="5" w:space="0" w:color="F6F8F9"/>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25%</w:t>
                    </w:r>
                  </w:p>
                </w:tc>
              </w:sdtContent>
            </w:sdt>
          </w:tr>
          <w:tr w:rsidR="00395BFB">
            <w:trPr>
              <w:trHeight w:val="240"/>
            </w:trPr>
            <w:sdt>
              <w:sdtPr>
                <w:tag w:val="goog_rdk_45"/>
                <w:id w:val="-1551984410"/>
                <w:lock w:val="contentLocked"/>
              </w:sdtPr>
              <w:sdtEndPr/>
              <w:sdtContent>
                <w:tc>
                  <w:tcPr>
                    <w:tcW w:w="1335" w:type="dxa"/>
                    <w:tcBorders>
                      <w:top w:val="single" w:sz="5" w:space="0" w:color="CCCCCC"/>
                      <w:left w:val="single" w:sz="5" w:space="0" w:color="284E3F"/>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2nd Deliverable</w:t>
                    </w:r>
                  </w:p>
                </w:tc>
              </w:sdtContent>
            </w:sdt>
            <w:sdt>
              <w:sdtPr>
                <w:tag w:val="goog_rdk_46"/>
                <w:id w:val="-93996941"/>
                <w:lock w:val="contentLocked"/>
              </w:sdtPr>
              <w:sdtEndPr/>
              <w:sdtContent>
                <w:tc>
                  <w:tcPr>
                    <w:tcW w:w="6990" w:type="dxa"/>
                    <w:tcBorders>
                      <w:top w:val="single" w:sz="5" w:space="0" w:color="CCCCCC"/>
                      <w:left w:val="single" w:sz="5" w:space="0" w:color="CCCCCC"/>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Field preparation and data collection initiated: (a) Draft tools package finalized; (b) Training and pilot completion note submitted; (c) Fieldwork started and initial/raw data shared with iDE Bangladesh</w:t>
                    </w:r>
                  </w:p>
                </w:tc>
              </w:sdtContent>
            </w:sdt>
            <w:sdt>
              <w:sdtPr>
                <w:tag w:val="goog_rdk_47"/>
                <w:id w:val="-553429515"/>
                <w:lock w:val="contentLocked"/>
              </w:sdtPr>
              <w:sdtEndPr/>
              <w:sdtContent>
                <w:tc>
                  <w:tcPr>
                    <w:tcW w:w="1515" w:type="dxa"/>
                    <w:tcBorders>
                      <w:top w:val="single" w:sz="5" w:space="0" w:color="CCCCCC"/>
                      <w:left w:val="single" w:sz="5" w:space="0" w:color="CCCCCC"/>
                      <w:bottom w:val="single" w:sz="5" w:space="0" w:color="F6F8F9"/>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End of Week 4</w:t>
                    </w:r>
                  </w:p>
                </w:tc>
              </w:sdtContent>
            </w:sdt>
            <w:sdt>
              <w:sdtPr>
                <w:tag w:val="goog_rdk_48"/>
                <w:id w:val="-471247001"/>
                <w:lock w:val="contentLocked"/>
              </w:sdtPr>
              <w:sdtEndPr/>
              <w:sdtContent>
                <w:tc>
                  <w:tcPr>
                    <w:tcW w:w="1305" w:type="dxa"/>
                    <w:tcBorders>
                      <w:top w:val="single" w:sz="5" w:space="0" w:color="CCCCCC"/>
                      <w:left w:val="single" w:sz="5" w:space="0" w:color="CCCCCC"/>
                      <w:bottom w:val="single" w:sz="5" w:space="0" w:color="F6F8F9"/>
                      <w:right w:val="single" w:sz="5" w:space="0" w:color="284E3F"/>
                    </w:tcBorders>
                    <w:shd w:val="clear" w:color="auto" w:fill="F6F8F9"/>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25%</w:t>
                    </w:r>
                  </w:p>
                </w:tc>
              </w:sdtContent>
            </w:sdt>
          </w:tr>
          <w:tr w:rsidR="00395BFB">
            <w:trPr>
              <w:trHeight w:val="450"/>
            </w:trPr>
            <w:sdt>
              <w:sdtPr>
                <w:tag w:val="goog_rdk_49"/>
                <w:id w:val="-630207034"/>
                <w:lock w:val="contentLocked"/>
              </w:sdtPr>
              <w:sdtEndPr/>
              <w:sdtContent>
                <w:tc>
                  <w:tcPr>
                    <w:tcW w:w="1335" w:type="dxa"/>
                    <w:tcBorders>
                      <w:top w:val="single" w:sz="5" w:space="0" w:color="CCCCCC"/>
                      <w:left w:val="single" w:sz="5" w:space="0" w:color="284E3F"/>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3rd Deliverable</w:t>
                    </w:r>
                  </w:p>
                </w:tc>
              </w:sdtContent>
            </w:sdt>
            <w:sdt>
              <w:sdtPr>
                <w:tag w:val="goog_rdk_50"/>
                <w:id w:val="-1491189570"/>
                <w:lock w:val="contentLocked"/>
              </w:sdtPr>
              <w:sdtEndPr/>
              <w:sdtContent>
                <w:tc>
                  <w:tcPr>
                    <w:tcW w:w="6990"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Data processing and draft analysis completed: (a) Clean datasets, codebooks, and syntax/do files submitted; (b) Draft technical outputs under Objectives 1, 2, and 3 submitted; (c) Draft integrated report and findings deck shared</w:t>
                    </w:r>
                  </w:p>
                </w:tc>
              </w:sdtContent>
            </w:sdt>
            <w:sdt>
              <w:sdtPr>
                <w:tag w:val="goog_rdk_51"/>
                <w:id w:val="-1702443876"/>
                <w:lock w:val="contentLocked"/>
              </w:sdtPr>
              <w:sdtEndPr/>
              <w:sdtContent>
                <w:tc>
                  <w:tcPr>
                    <w:tcW w:w="1515" w:type="dxa"/>
                    <w:tcBorders>
                      <w:top w:val="single" w:sz="5" w:space="0" w:color="CCCCCC"/>
                      <w:left w:val="single" w:sz="5" w:space="0" w:color="CCCCCC"/>
                      <w:bottom w:val="single" w:sz="5" w:space="0" w:color="F6F8F9"/>
                      <w:right w:val="single" w:sz="5" w:space="0" w:color="FFFFFF"/>
                    </w:tcBorders>
                    <w:shd w:val="clear" w:color="auto" w:fill="FFFFFF"/>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End of Week 7</w:t>
                    </w:r>
                  </w:p>
                </w:tc>
              </w:sdtContent>
            </w:sdt>
            <w:sdt>
              <w:sdtPr>
                <w:tag w:val="goog_rdk_52"/>
                <w:id w:val="-1826581504"/>
                <w:lock w:val="contentLocked"/>
              </w:sdtPr>
              <w:sdtEndPr/>
              <w:sdtContent>
                <w:tc>
                  <w:tcPr>
                    <w:tcW w:w="1305" w:type="dxa"/>
                    <w:tcBorders>
                      <w:top w:val="single" w:sz="5" w:space="0" w:color="CCCCCC"/>
                      <w:left w:val="single" w:sz="5" w:space="0" w:color="CCCCCC"/>
                      <w:bottom w:val="single" w:sz="5" w:space="0" w:color="F6F8F9"/>
                      <w:right w:val="single" w:sz="5" w:space="0" w:color="284E3F"/>
                    </w:tcBorders>
                    <w:shd w:val="clear" w:color="auto" w:fill="FFFFFF"/>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25%</w:t>
                    </w:r>
                  </w:p>
                </w:tc>
              </w:sdtContent>
            </w:sdt>
          </w:tr>
          <w:tr w:rsidR="00395BFB">
            <w:trPr>
              <w:trHeight w:val="525"/>
            </w:trPr>
            <w:sdt>
              <w:sdtPr>
                <w:tag w:val="goog_rdk_53"/>
                <w:id w:val="375523847"/>
                <w:lock w:val="contentLocked"/>
              </w:sdtPr>
              <w:sdtEndPr/>
              <w:sdtContent>
                <w:tc>
                  <w:tcPr>
                    <w:tcW w:w="1335" w:type="dxa"/>
                    <w:tcBorders>
                      <w:top w:val="single" w:sz="5" w:space="0" w:color="CCCCCC"/>
                      <w:left w:val="single" w:sz="5" w:space="0" w:color="284E3F"/>
                      <w:bottom w:val="single" w:sz="5" w:space="0" w:color="284E3F"/>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4th Deliverable</w:t>
                    </w:r>
                  </w:p>
                </w:tc>
              </w:sdtContent>
            </w:sdt>
            <w:sdt>
              <w:sdtPr>
                <w:tag w:val="goog_rdk_54"/>
                <w:id w:val="924038464"/>
                <w:lock w:val="contentLocked"/>
              </w:sdtPr>
              <w:sdtEndPr/>
              <w:sdtContent>
                <w:tc>
                  <w:tcPr>
                    <w:tcW w:w="6990" w:type="dxa"/>
                    <w:tcBorders>
                      <w:top w:val="single" w:sz="5" w:space="0" w:color="CCCCCC"/>
                      <w:left w:val="single" w:sz="5" w:space="0" w:color="CCCCCC"/>
                      <w:bottom w:val="single" w:sz="5" w:space="0" w:color="284E3F"/>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rPr>
                        <w:rFonts w:ascii="Arial" w:eastAsia="Arial" w:hAnsi="Arial" w:cs="Arial"/>
                        <w:sz w:val="20"/>
                        <w:szCs w:val="20"/>
                      </w:rPr>
                    </w:pPr>
                    <w:r>
                      <w:rPr>
                        <w:color w:val="434343"/>
                        <w:sz w:val="20"/>
                        <w:szCs w:val="20"/>
                      </w:rPr>
                      <w:t>Final reporting and closure completed: (a) Validation and sense-making workshop organized, facilitated, and completed, including agenda, presentation materials, participant summary, and documentation of feedback; (b) Final integrated report with recommenda</w:t>
                    </w:r>
                    <w:r>
                      <w:rPr>
                        <w:color w:val="434343"/>
                        <w:sz w:val="20"/>
                        <w:szCs w:val="20"/>
                      </w:rPr>
                      <w:t>tions submitted; (c) Final clean datasets, annexes, presentation deck, and final NE graduation and tiering model submitted</w:t>
                    </w:r>
                  </w:p>
                </w:tc>
              </w:sdtContent>
            </w:sdt>
            <w:sdt>
              <w:sdtPr>
                <w:tag w:val="goog_rdk_55"/>
                <w:id w:val="-1000815262"/>
                <w:lock w:val="contentLocked"/>
              </w:sdtPr>
              <w:sdtEndPr/>
              <w:sdtContent>
                <w:tc>
                  <w:tcPr>
                    <w:tcW w:w="1515" w:type="dxa"/>
                    <w:tcBorders>
                      <w:top w:val="single" w:sz="5" w:space="0" w:color="CCCCCC"/>
                      <w:left w:val="single" w:sz="5" w:space="0" w:color="CCCCCC"/>
                      <w:bottom w:val="single" w:sz="5" w:space="0" w:color="284E3F"/>
                      <w:right w:val="single" w:sz="5" w:space="0" w:color="F6F8F9"/>
                    </w:tcBorders>
                    <w:shd w:val="clear" w:color="auto" w:fill="F6F8F9"/>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End of Week 8</w:t>
                    </w:r>
                  </w:p>
                </w:tc>
              </w:sdtContent>
            </w:sdt>
            <w:sdt>
              <w:sdtPr>
                <w:tag w:val="goog_rdk_56"/>
                <w:id w:val="-1862013712"/>
                <w:lock w:val="contentLocked"/>
              </w:sdtPr>
              <w:sdtEndPr/>
              <w:sdtContent>
                <w:tc>
                  <w:tcPr>
                    <w:tcW w:w="1305" w:type="dxa"/>
                    <w:tcBorders>
                      <w:top w:val="single" w:sz="5" w:space="0" w:color="CCCCCC"/>
                      <w:left w:val="single" w:sz="5" w:space="0" w:color="CCCCCC"/>
                      <w:bottom w:val="single" w:sz="5" w:space="0" w:color="284E3F"/>
                      <w:right w:val="single" w:sz="5" w:space="0" w:color="284E3F"/>
                    </w:tcBorders>
                    <w:shd w:val="clear" w:color="auto" w:fill="F6F8F9"/>
                    <w:tcMar>
                      <w:top w:w="0" w:type="dxa"/>
                      <w:left w:w="120" w:type="dxa"/>
                      <w:bottom w:w="0" w:type="dxa"/>
                      <w:right w:w="120" w:type="dxa"/>
                    </w:tcMar>
                    <w:vAlign w:val="center"/>
                  </w:tcPr>
                  <w:p w:rsidR="00395BFB" w:rsidRDefault="00280084">
                    <w:pPr>
                      <w:widowControl w:val="0"/>
                      <w:spacing w:line="276" w:lineRule="auto"/>
                      <w:jc w:val="right"/>
                      <w:rPr>
                        <w:rFonts w:ascii="Arial" w:eastAsia="Arial" w:hAnsi="Arial" w:cs="Arial"/>
                        <w:sz w:val="20"/>
                        <w:szCs w:val="20"/>
                      </w:rPr>
                    </w:pPr>
                    <w:r>
                      <w:rPr>
                        <w:color w:val="434343"/>
                        <w:sz w:val="20"/>
                        <w:szCs w:val="20"/>
                      </w:rPr>
                      <w:t>25%</w:t>
                    </w:r>
                  </w:p>
                </w:tc>
              </w:sdtContent>
            </w:sdt>
          </w:tr>
        </w:tbl>
      </w:sdtContent>
    </w:sdt>
    <w:p w:rsidR="00395BFB" w:rsidRDefault="00280084">
      <w:pPr>
        <w:widowControl w:val="0"/>
        <w:tabs>
          <w:tab w:val="left" w:pos="450"/>
        </w:tabs>
        <w:spacing w:before="200" w:after="120" w:line="276" w:lineRule="auto"/>
        <w:jc w:val="both"/>
        <w:rPr>
          <w:sz w:val="20"/>
          <w:szCs w:val="20"/>
        </w:rPr>
      </w:pPr>
      <w:r>
        <w:rPr>
          <w:sz w:val="20"/>
          <w:szCs w:val="20"/>
        </w:rPr>
        <w:t xml:space="preserve">Note: Government VAT and tax </w:t>
      </w:r>
      <w:r>
        <w:rPr>
          <w:sz w:val="20"/>
          <w:szCs w:val="20"/>
        </w:rPr>
        <w:t>regulations</w:t>
      </w:r>
      <w:r>
        <w:rPr>
          <w:sz w:val="20"/>
          <w:szCs w:val="20"/>
        </w:rPr>
        <w:t xml:space="preserve"> will be applied, and these costs must be included in the financial proposal.</w:t>
      </w:r>
    </w:p>
    <w:p w:rsidR="00395BFB" w:rsidRDefault="00280084">
      <w:pPr>
        <w:widowControl w:val="0"/>
        <w:spacing w:before="200" w:line="276" w:lineRule="auto"/>
        <w:jc w:val="both"/>
        <w:rPr>
          <w:sz w:val="20"/>
          <w:szCs w:val="20"/>
        </w:rPr>
      </w:pPr>
      <w:r>
        <w:rPr>
          <w:sz w:val="20"/>
          <w:szCs w:val="20"/>
        </w:rPr>
        <w:t>The following terms and conditions will apply:</w:t>
      </w:r>
    </w:p>
    <w:p w:rsidR="00395BFB" w:rsidRDefault="00280084">
      <w:pPr>
        <w:widowControl w:val="0"/>
        <w:numPr>
          <w:ilvl w:val="0"/>
          <w:numId w:val="10"/>
        </w:numPr>
        <w:spacing w:line="276" w:lineRule="auto"/>
        <w:jc w:val="both"/>
        <w:rPr>
          <w:sz w:val="20"/>
          <w:szCs w:val="20"/>
        </w:rPr>
      </w:pPr>
      <w:r>
        <w:rPr>
          <w:sz w:val="20"/>
          <w:szCs w:val="20"/>
        </w:rPr>
        <w:t xml:space="preserve">The payment will be made through account payee cheque/ wire transfer (account name, number, type, bank name, and branch name </w:t>
      </w:r>
      <w:r>
        <w:rPr>
          <w:sz w:val="20"/>
          <w:szCs w:val="20"/>
        </w:rPr>
        <w:t>are</w:t>
      </w:r>
      <w:r>
        <w:rPr>
          <w:sz w:val="20"/>
          <w:szCs w:val="20"/>
        </w:rPr>
        <w:t xml:space="preserve"> re</w:t>
      </w:r>
      <w:r>
        <w:rPr>
          <w:sz w:val="20"/>
          <w:szCs w:val="20"/>
        </w:rPr>
        <w:t>quired for wire transfer);</w:t>
      </w:r>
    </w:p>
    <w:p w:rsidR="00395BFB" w:rsidRDefault="00280084">
      <w:pPr>
        <w:widowControl w:val="0"/>
        <w:numPr>
          <w:ilvl w:val="0"/>
          <w:numId w:val="10"/>
        </w:numPr>
        <w:spacing w:line="276" w:lineRule="auto"/>
        <w:jc w:val="both"/>
        <w:rPr>
          <w:sz w:val="20"/>
          <w:szCs w:val="20"/>
        </w:rPr>
      </w:pPr>
      <w:r>
        <w:rPr>
          <w:sz w:val="20"/>
          <w:szCs w:val="20"/>
        </w:rPr>
        <w:t xml:space="preserve">As per </w:t>
      </w:r>
      <w:r>
        <w:rPr>
          <w:sz w:val="20"/>
          <w:szCs w:val="20"/>
        </w:rPr>
        <w:t xml:space="preserve">the </w:t>
      </w:r>
      <w:r>
        <w:rPr>
          <w:sz w:val="20"/>
          <w:szCs w:val="20"/>
        </w:rPr>
        <w:t xml:space="preserve">Government of Bangladesh VAT and tax regulation; International consultants are taxed at 15% VAT (on contract amount) and 20% tax (on contract amount +VAT); National consultants are taxed at 15% VAT and </w:t>
      </w:r>
      <w:r>
        <w:rPr>
          <w:sz w:val="20"/>
          <w:szCs w:val="20"/>
        </w:rPr>
        <w:t>10</w:t>
      </w:r>
      <w:r>
        <w:rPr>
          <w:sz w:val="20"/>
          <w:szCs w:val="20"/>
        </w:rPr>
        <w:t>% tax</w:t>
      </w:r>
      <w:r>
        <w:rPr>
          <w:sz w:val="20"/>
          <w:szCs w:val="20"/>
        </w:rPr>
        <w:t>.</w:t>
      </w:r>
    </w:p>
    <w:p w:rsidR="00395BFB" w:rsidRDefault="00280084">
      <w:pPr>
        <w:widowControl w:val="0"/>
        <w:numPr>
          <w:ilvl w:val="0"/>
          <w:numId w:val="10"/>
        </w:numPr>
        <w:spacing w:line="276" w:lineRule="auto"/>
        <w:jc w:val="both"/>
        <w:rPr>
          <w:sz w:val="20"/>
          <w:szCs w:val="20"/>
        </w:rPr>
      </w:pPr>
      <w:r>
        <w:rPr>
          <w:sz w:val="20"/>
          <w:szCs w:val="20"/>
        </w:rPr>
        <w:t>Governm</w:t>
      </w:r>
      <w:r>
        <w:rPr>
          <w:sz w:val="20"/>
          <w:szCs w:val="20"/>
        </w:rPr>
        <w:t>ent VAT and tax regulation will be applied</w:t>
      </w:r>
      <w:r>
        <w:rPr>
          <w:sz w:val="20"/>
          <w:szCs w:val="20"/>
        </w:rPr>
        <w:t>,</w:t>
      </w:r>
      <w:r>
        <w:rPr>
          <w:sz w:val="20"/>
          <w:szCs w:val="20"/>
        </w:rPr>
        <w:t xml:space="preserve"> and </w:t>
      </w:r>
      <w:proofErr w:type="spellStart"/>
      <w:r>
        <w:rPr>
          <w:sz w:val="20"/>
          <w:szCs w:val="20"/>
        </w:rPr>
        <w:t>iDE</w:t>
      </w:r>
      <w:proofErr w:type="spellEnd"/>
      <w:r>
        <w:rPr>
          <w:sz w:val="20"/>
          <w:szCs w:val="20"/>
        </w:rPr>
        <w:t xml:space="preserve"> Bangladesh will deduct all relevant VAT and Tax at source as per </w:t>
      </w:r>
      <w:r>
        <w:rPr>
          <w:sz w:val="20"/>
          <w:szCs w:val="20"/>
        </w:rPr>
        <w:t xml:space="preserve">the </w:t>
      </w:r>
      <w:proofErr w:type="spellStart"/>
      <w:r>
        <w:rPr>
          <w:sz w:val="20"/>
          <w:szCs w:val="20"/>
        </w:rPr>
        <w:t>GoB</w:t>
      </w:r>
      <w:proofErr w:type="spellEnd"/>
      <w:r>
        <w:rPr>
          <w:sz w:val="20"/>
          <w:szCs w:val="20"/>
        </w:rPr>
        <w:t xml:space="preserve"> rule</w:t>
      </w:r>
      <w:r>
        <w:rPr>
          <w:sz w:val="20"/>
          <w:szCs w:val="20"/>
        </w:rPr>
        <w:t>.</w:t>
      </w:r>
    </w:p>
    <w:p w:rsidR="00395BFB" w:rsidRDefault="00280084">
      <w:pPr>
        <w:widowControl w:val="0"/>
        <w:numPr>
          <w:ilvl w:val="0"/>
          <w:numId w:val="10"/>
        </w:numPr>
        <w:spacing w:line="276" w:lineRule="auto"/>
        <w:jc w:val="both"/>
        <w:rPr>
          <w:sz w:val="20"/>
          <w:szCs w:val="20"/>
        </w:rPr>
      </w:pPr>
      <w:r>
        <w:rPr>
          <w:sz w:val="20"/>
          <w:szCs w:val="20"/>
        </w:rPr>
        <w:t>VAT Registration Certificate, TIN</w:t>
      </w:r>
      <w:r>
        <w:rPr>
          <w:sz w:val="20"/>
          <w:szCs w:val="20"/>
        </w:rPr>
        <w:t>,</w:t>
      </w:r>
      <w:r>
        <w:rPr>
          <w:sz w:val="20"/>
          <w:szCs w:val="20"/>
        </w:rPr>
        <w:t xml:space="preserve"> and Trade License (if applicable) must be submitted before the agreement is signed</w:t>
      </w:r>
      <w:r>
        <w:rPr>
          <w:sz w:val="20"/>
          <w:szCs w:val="20"/>
        </w:rPr>
        <w:t>.</w:t>
      </w:r>
    </w:p>
    <w:p w:rsidR="00395BFB" w:rsidRDefault="00280084">
      <w:pPr>
        <w:widowControl w:val="0"/>
        <w:numPr>
          <w:ilvl w:val="0"/>
          <w:numId w:val="10"/>
        </w:numPr>
        <w:spacing w:line="276" w:lineRule="auto"/>
        <w:jc w:val="both"/>
        <w:rPr>
          <w:sz w:val="20"/>
          <w:szCs w:val="20"/>
        </w:rPr>
      </w:pPr>
      <w:r>
        <w:rPr>
          <w:sz w:val="20"/>
          <w:szCs w:val="20"/>
        </w:rPr>
        <w:t xml:space="preserve">In case of failure to deliver the final product in due time, </w:t>
      </w:r>
      <w:proofErr w:type="spellStart"/>
      <w:r>
        <w:rPr>
          <w:sz w:val="20"/>
          <w:szCs w:val="20"/>
        </w:rPr>
        <w:t>iDE</w:t>
      </w:r>
      <w:proofErr w:type="spellEnd"/>
      <w:r>
        <w:rPr>
          <w:sz w:val="20"/>
          <w:szCs w:val="20"/>
        </w:rPr>
        <w:t xml:space="preserve"> Bangladesh will deduct .05% of the total agreement amount for each day of delay in submitting the report beyond the closing date of the agreement</w:t>
      </w:r>
      <w:r>
        <w:rPr>
          <w:sz w:val="20"/>
          <w:szCs w:val="20"/>
        </w:rPr>
        <w:t>.</w:t>
      </w:r>
    </w:p>
    <w:p w:rsidR="00395BFB" w:rsidRDefault="00280084">
      <w:pPr>
        <w:widowControl w:val="0"/>
        <w:numPr>
          <w:ilvl w:val="0"/>
          <w:numId w:val="10"/>
        </w:numPr>
        <w:spacing w:line="276" w:lineRule="auto"/>
        <w:jc w:val="both"/>
        <w:rPr>
          <w:sz w:val="20"/>
          <w:szCs w:val="20"/>
        </w:rPr>
      </w:pPr>
      <w:r>
        <w:rPr>
          <w:sz w:val="20"/>
          <w:szCs w:val="20"/>
        </w:rPr>
        <w:t xml:space="preserve">The selected consultant/firm will abide by </w:t>
      </w:r>
      <w:r>
        <w:rPr>
          <w:sz w:val="20"/>
          <w:szCs w:val="20"/>
        </w:rPr>
        <w:t xml:space="preserve">the </w:t>
      </w:r>
      <w:r>
        <w:rPr>
          <w:sz w:val="20"/>
          <w:szCs w:val="20"/>
        </w:rPr>
        <w:t xml:space="preserve">other terms and conditions of </w:t>
      </w:r>
      <w:proofErr w:type="spellStart"/>
      <w:r>
        <w:rPr>
          <w:sz w:val="20"/>
          <w:szCs w:val="20"/>
        </w:rPr>
        <w:t>iDE</w:t>
      </w:r>
      <w:proofErr w:type="spellEnd"/>
      <w:r>
        <w:rPr>
          <w:sz w:val="20"/>
          <w:szCs w:val="20"/>
        </w:rPr>
        <w:t xml:space="preserve"> Bangladesh.</w:t>
      </w:r>
    </w:p>
    <w:p w:rsidR="00395BFB" w:rsidRDefault="00280084">
      <w:pPr>
        <w:widowControl w:val="0"/>
        <w:numPr>
          <w:ilvl w:val="0"/>
          <w:numId w:val="12"/>
        </w:numPr>
        <w:tabs>
          <w:tab w:val="left" w:pos="450"/>
        </w:tabs>
        <w:spacing w:before="200" w:after="120" w:line="276" w:lineRule="auto"/>
        <w:ind w:left="270"/>
        <w:jc w:val="both"/>
        <w:rPr>
          <w:b/>
          <w:bCs/>
          <w:color w:val="FF5F4A"/>
          <w:sz w:val="20"/>
          <w:szCs w:val="20"/>
          <w:highlight w:val="white"/>
        </w:rPr>
      </w:pPr>
      <w:r>
        <w:rPr>
          <w:b/>
          <w:bCs/>
          <w:color w:val="EA4D39"/>
          <w:sz w:val="20"/>
          <w:szCs w:val="20"/>
          <w:highlight w:val="white"/>
        </w:rPr>
        <w:lastRenderedPageBreak/>
        <w:t xml:space="preserve"> Ethics and Proprietary Rights</w:t>
      </w:r>
    </w:p>
    <w:p w:rsidR="00395BFB" w:rsidRDefault="00280084">
      <w:pPr>
        <w:widowControl w:val="0"/>
        <w:tabs>
          <w:tab w:val="left" w:pos="450"/>
        </w:tabs>
        <w:spacing w:before="200" w:after="120" w:line="276" w:lineRule="auto"/>
        <w:jc w:val="both"/>
        <w:rPr>
          <w:sz w:val="20"/>
          <w:szCs w:val="20"/>
          <w:highlight w:val="white"/>
        </w:rPr>
      </w:pPr>
      <w:r>
        <w:rPr>
          <w:sz w:val="20"/>
          <w:szCs w:val="20"/>
          <w:highlight w:val="white"/>
        </w:rPr>
        <w:t xml:space="preserve">In accordance with </w:t>
      </w:r>
      <w:proofErr w:type="spellStart"/>
      <w:r>
        <w:rPr>
          <w:sz w:val="20"/>
          <w:szCs w:val="20"/>
          <w:highlight w:val="white"/>
        </w:rPr>
        <w:t>iDE's</w:t>
      </w:r>
      <w:proofErr w:type="spellEnd"/>
      <w:r>
        <w:rPr>
          <w:sz w:val="20"/>
          <w:szCs w:val="20"/>
          <w:highlight w:val="white"/>
        </w:rPr>
        <w:t xml:space="preserve"> Global Gender Equality and Social Inclusion Policy, evaluations should do no harm to research participants and the dignity of the participants should </w:t>
      </w:r>
      <w:r>
        <w:rPr>
          <w:sz w:val="20"/>
          <w:szCs w:val="20"/>
          <w:highlight w:val="white"/>
        </w:rPr>
        <w:t>be prioritized. Minimum standards include:</w:t>
      </w:r>
    </w:p>
    <w:p w:rsidR="00395BFB" w:rsidRDefault="00280084">
      <w:pPr>
        <w:widowControl w:val="0"/>
        <w:numPr>
          <w:ilvl w:val="0"/>
          <w:numId w:val="14"/>
        </w:numPr>
        <w:tabs>
          <w:tab w:val="left" w:pos="450"/>
        </w:tabs>
        <w:spacing w:before="200" w:line="276" w:lineRule="auto"/>
        <w:jc w:val="both"/>
        <w:rPr>
          <w:sz w:val="20"/>
          <w:szCs w:val="20"/>
          <w:highlight w:val="white"/>
        </w:rPr>
      </w:pPr>
      <w:r>
        <w:rPr>
          <w:sz w:val="20"/>
          <w:szCs w:val="20"/>
          <w:highlight w:val="white"/>
        </w:rPr>
        <w:t xml:space="preserve">Providing respondents with a verbal informed consent process, to ensure they are aware of and understand the purpose of the data collection, benefits and risks of participation, what will be done with their data, </w:t>
      </w:r>
      <w:r>
        <w:rPr>
          <w:sz w:val="20"/>
          <w:szCs w:val="20"/>
          <w:highlight w:val="white"/>
        </w:rPr>
        <w:t xml:space="preserve">that their participation is completely voluntary, that they can withdraw from the research at any point over the course of the project, and any other information they need about the data collection process to make an informed decision about participation. </w:t>
      </w:r>
    </w:p>
    <w:p w:rsidR="00395BFB" w:rsidRDefault="00280084">
      <w:pPr>
        <w:widowControl w:val="0"/>
        <w:numPr>
          <w:ilvl w:val="0"/>
          <w:numId w:val="14"/>
        </w:numPr>
        <w:tabs>
          <w:tab w:val="left" w:pos="450"/>
        </w:tabs>
        <w:spacing w:line="276" w:lineRule="auto"/>
        <w:jc w:val="both"/>
        <w:rPr>
          <w:sz w:val="20"/>
          <w:szCs w:val="20"/>
          <w:highlight w:val="white"/>
        </w:rPr>
      </w:pPr>
      <w:r>
        <w:rPr>
          <w:sz w:val="20"/>
          <w:szCs w:val="20"/>
          <w:highlight w:val="white"/>
        </w:rPr>
        <w:t xml:space="preserve">Avoiding any deception or exaggeration about the aims and objectives of the research. </w:t>
      </w:r>
    </w:p>
    <w:p w:rsidR="00395BFB" w:rsidRDefault="00280084">
      <w:pPr>
        <w:widowControl w:val="0"/>
        <w:numPr>
          <w:ilvl w:val="0"/>
          <w:numId w:val="14"/>
        </w:numPr>
        <w:tabs>
          <w:tab w:val="left" w:pos="450"/>
        </w:tabs>
        <w:spacing w:line="276" w:lineRule="auto"/>
        <w:jc w:val="both"/>
        <w:rPr>
          <w:sz w:val="20"/>
          <w:szCs w:val="20"/>
          <w:highlight w:val="white"/>
        </w:rPr>
      </w:pPr>
      <w:r>
        <w:rPr>
          <w:sz w:val="20"/>
          <w:szCs w:val="20"/>
          <w:highlight w:val="white"/>
        </w:rPr>
        <w:t xml:space="preserve">Participants in the research should be selected and included in research equitably with no individual, community or </w:t>
      </w:r>
      <w:r>
        <w:rPr>
          <w:sz w:val="20"/>
          <w:szCs w:val="20"/>
          <w:highlight w:val="white"/>
        </w:rPr>
        <w:t>systematically</w:t>
      </w:r>
      <w:r>
        <w:rPr>
          <w:sz w:val="20"/>
          <w:szCs w:val="20"/>
          <w:highlight w:val="white"/>
        </w:rPr>
        <w:t xml:space="preserve"> excluded group left out of the sample</w:t>
      </w:r>
      <w:r>
        <w:rPr>
          <w:sz w:val="20"/>
          <w:szCs w:val="20"/>
          <w:highlight w:val="white"/>
        </w:rPr>
        <w:t xml:space="preserve"> without valid reason. </w:t>
      </w:r>
    </w:p>
    <w:p w:rsidR="00395BFB" w:rsidRDefault="00280084">
      <w:pPr>
        <w:widowControl w:val="0"/>
        <w:numPr>
          <w:ilvl w:val="0"/>
          <w:numId w:val="14"/>
        </w:numPr>
        <w:tabs>
          <w:tab w:val="left" w:pos="450"/>
        </w:tabs>
        <w:spacing w:line="276" w:lineRule="auto"/>
        <w:jc w:val="both"/>
        <w:rPr>
          <w:sz w:val="20"/>
          <w:szCs w:val="20"/>
          <w:highlight w:val="white"/>
        </w:rPr>
      </w:pPr>
      <w:r>
        <w:rPr>
          <w:sz w:val="20"/>
          <w:szCs w:val="20"/>
          <w:highlight w:val="white"/>
        </w:rPr>
        <w:t xml:space="preserve">Respondents’ identifying information such as name, address, etc., must be codified to protect their identity and strict confidentiality amongst research staff must be maintained. </w:t>
      </w:r>
    </w:p>
    <w:p w:rsidR="00395BFB" w:rsidRDefault="00280084">
      <w:pPr>
        <w:widowControl w:val="0"/>
        <w:numPr>
          <w:ilvl w:val="0"/>
          <w:numId w:val="14"/>
        </w:numPr>
        <w:tabs>
          <w:tab w:val="left" w:pos="450"/>
        </w:tabs>
        <w:spacing w:line="276" w:lineRule="auto"/>
        <w:jc w:val="both"/>
        <w:rPr>
          <w:sz w:val="20"/>
          <w:szCs w:val="20"/>
          <w:highlight w:val="white"/>
        </w:rPr>
      </w:pPr>
      <w:r>
        <w:rPr>
          <w:sz w:val="20"/>
          <w:szCs w:val="20"/>
          <w:highlight w:val="white"/>
        </w:rPr>
        <w:t>Data instruments and interactions with respondents a</w:t>
      </w:r>
      <w:r>
        <w:rPr>
          <w:sz w:val="20"/>
          <w:szCs w:val="20"/>
          <w:highlight w:val="white"/>
        </w:rPr>
        <w:t xml:space="preserve">nd study participants should be free of offensive, discriminatory, or other unacceptable language. </w:t>
      </w:r>
    </w:p>
    <w:p w:rsidR="00395BFB" w:rsidRDefault="00280084">
      <w:pPr>
        <w:widowControl w:val="0"/>
        <w:numPr>
          <w:ilvl w:val="0"/>
          <w:numId w:val="14"/>
        </w:numPr>
        <w:tabs>
          <w:tab w:val="left" w:pos="450"/>
        </w:tabs>
        <w:spacing w:line="276" w:lineRule="auto"/>
        <w:jc w:val="both"/>
        <w:rPr>
          <w:sz w:val="20"/>
          <w:szCs w:val="20"/>
          <w:highlight w:val="white"/>
        </w:rPr>
      </w:pPr>
      <w:r>
        <w:rPr>
          <w:sz w:val="20"/>
          <w:szCs w:val="20"/>
          <w:highlight w:val="white"/>
        </w:rPr>
        <w:t xml:space="preserve">Data collected and stored will be in adherence to all local and national data protection regulations and laws. </w:t>
      </w:r>
    </w:p>
    <w:p w:rsidR="00395BFB" w:rsidRDefault="00280084">
      <w:pPr>
        <w:widowControl w:val="0"/>
        <w:numPr>
          <w:ilvl w:val="0"/>
          <w:numId w:val="14"/>
        </w:numPr>
        <w:tabs>
          <w:tab w:val="left" w:pos="450"/>
        </w:tabs>
        <w:spacing w:after="120" w:line="276" w:lineRule="auto"/>
        <w:jc w:val="both"/>
        <w:rPr>
          <w:sz w:val="20"/>
          <w:szCs w:val="20"/>
          <w:highlight w:val="white"/>
        </w:rPr>
      </w:pPr>
      <w:r>
        <w:rPr>
          <w:sz w:val="20"/>
          <w:szCs w:val="20"/>
          <w:highlight w:val="white"/>
        </w:rPr>
        <w:t>Data collection staff must be properly train</w:t>
      </w:r>
      <w:r>
        <w:rPr>
          <w:sz w:val="20"/>
          <w:szCs w:val="20"/>
          <w:highlight w:val="white"/>
        </w:rPr>
        <w:t xml:space="preserve">ed to respect the dignity of participants and to provide support in the case that any research activities cause unanticipated harm. </w:t>
      </w:r>
    </w:p>
    <w:p w:rsidR="00395BFB" w:rsidRDefault="00280084">
      <w:pPr>
        <w:widowControl w:val="0"/>
        <w:tabs>
          <w:tab w:val="left" w:pos="450"/>
        </w:tabs>
        <w:spacing w:before="200" w:after="120" w:line="276" w:lineRule="auto"/>
        <w:jc w:val="both"/>
        <w:rPr>
          <w:sz w:val="20"/>
          <w:szCs w:val="20"/>
          <w:highlight w:val="white"/>
        </w:rPr>
      </w:pPr>
      <w:proofErr w:type="spellStart"/>
      <w:r>
        <w:rPr>
          <w:sz w:val="20"/>
          <w:szCs w:val="20"/>
          <w:highlight w:val="white"/>
        </w:rPr>
        <w:t>iDE</w:t>
      </w:r>
      <w:proofErr w:type="spellEnd"/>
      <w:r>
        <w:rPr>
          <w:sz w:val="20"/>
          <w:szCs w:val="20"/>
          <w:highlight w:val="white"/>
        </w:rPr>
        <w:t xml:space="preserve"> reserves the right to review processes on all above noted items at any point during the agreement in order to ensure th</w:t>
      </w:r>
      <w:r>
        <w:rPr>
          <w:sz w:val="20"/>
          <w:szCs w:val="20"/>
          <w:highlight w:val="white"/>
        </w:rPr>
        <w:t xml:space="preserve">at all do no harm principles are being appropriately adhered to. </w:t>
      </w:r>
      <w:proofErr w:type="spellStart"/>
      <w:r>
        <w:rPr>
          <w:sz w:val="20"/>
          <w:szCs w:val="20"/>
          <w:highlight w:val="white"/>
        </w:rPr>
        <w:t>iDE</w:t>
      </w:r>
      <w:proofErr w:type="spellEnd"/>
      <w:r>
        <w:rPr>
          <w:sz w:val="20"/>
          <w:szCs w:val="20"/>
          <w:highlight w:val="white"/>
        </w:rPr>
        <w:t xml:space="preserve"> may request supporting documentation for any and all items including training materials, data instruments, and informed consent materials. </w:t>
      </w:r>
    </w:p>
    <w:p w:rsidR="00395BFB" w:rsidRDefault="00280084">
      <w:pPr>
        <w:widowControl w:val="0"/>
        <w:tabs>
          <w:tab w:val="left" w:pos="450"/>
        </w:tabs>
        <w:spacing w:before="200" w:after="120" w:line="276" w:lineRule="auto"/>
        <w:jc w:val="both"/>
        <w:rPr>
          <w:sz w:val="20"/>
          <w:szCs w:val="20"/>
          <w:highlight w:val="white"/>
        </w:rPr>
      </w:pPr>
      <w:r>
        <w:rPr>
          <w:sz w:val="20"/>
          <w:szCs w:val="20"/>
          <w:highlight w:val="white"/>
        </w:rPr>
        <w:t>All raw and cleaned datasets, codebooks, syntax</w:t>
      </w:r>
      <w:r>
        <w:rPr>
          <w:sz w:val="20"/>
          <w:szCs w:val="20"/>
          <w:highlight w:val="white"/>
        </w:rPr>
        <w:t xml:space="preserve"> files, tools, transcripts or notes, analytical frameworks, presentation materials, and final outputs produced under this assignment shall remain the property of </w:t>
      </w:r>
      <w:proofErr w:type="spellStart"/>
      <w:r>
        <w:rPr>
          <w:sz w:val="20"/>
          <w:szCs w:val="20"/>
          <w:highlight w:val="white"/>
        </w:rPr>
        <w:t>iDE</w:t>
      </w:r>
      <w:proofErr w:type="spellEnd"/>
      <w:r>
        <w:rPr>
          <w:sz w:val="20"/>
          <w:szCs w:val="20"/>
          <w:highlight w:val="white"/>
        </w:rPr>
        <w:t xml:space="preserve"> Bangladesh unless otherwise agreed in writing.</w:t>
      </w:r>
      <w:r>
        <w:rPr>
          <w:sz w:val="20"/>
          <w:szCs w:val="20"/>
          <w:highlight w:val="white"/>
        </w:rPr>
        <w:t xml:space="preserve"> This provision shall remain valid even afte</w:t>
      </w:r>
      <w:r>
        <w:rPr>
          <w:sz w:val="20"/>
          <w:szCs w:val="20"/>
          <w:highlight w:val="white"/>
        </w:rPr>
        <w:t xml:space="preserve">r the completion of this assignment. </w:t>
      </w:r>
      <w:proofErr w:type="spellStart"/>
      <w:r>
        <w:rPr>
          <w:sz w:val="20"/>
          <w:szCs w:val="20"/>
          <w:highlight w:val="white"/>
        </w:rPr>
        <w:t>iDE</w:t>
      </w:r>
      <w:proofErr w:type="spellEnd"/>
      <w:r>
        <w:rPr>
          <w:sz w:val="20"/>
          <w:szCs w:val="20"/>
          <w:highlight w:val="white"/>
        </w:rPr>
        <w:t xml:space="preserve"> reserves the right to terminate this agreement at any time with the consultation of the contracted individual/firm.</w:t>
      </w:r>
    </w:p>
    <w:p w:rsidR="00395BFB" w:rsidRDefault="00280084">
      <w:pPr>
        <w:widowControl w:val="0"/>
        <w:numPr>
          <w:ilvl w:val="0"/>
          <w:numId w:val="12"/>
        </w:numPr>
        <w:tabs>
          <w:tab w:val="left" w:pos="450"/>
        </w:tabs>
        <w:spacing w:before="200" w:after="120" w:line="276" w:lineRule="auto"/>
        <w:ind w:left="270"/>
        <w:jc w:val="both"/>
        <w:rPr>
          <w:b/>
          <w:bCs/>
          <w:color w:val="FF5F4A"/>
          <w:sz w:val="20"/>
          <w:szCs w:val="20"/>
          <w:highlight w:val="white"/>
        </w:rPr>
      </w:pPr>
      <w:r>
        <w:rPr>
          <w:b/>
          <w:bCs/>
          <w:color w:val="EA4D39"/>
          <w:sz w:val="20"/>
          <w:szCs w:val="20"/>
          <w:highlight w:val="white"/>
        </w:rPr>
        <w:t xml:space="preserve"> Guidelines for Submission of the Proposal</w:t>
      </w:r>
    </w:p>
    <w:p w:rsidR="00395BFB" w:rsidRDefault="00280084">
      <w:pPr>
        <w:widowControl w:val="0"/>
        <w:spacing w:before="200" w:after="120" w:line="276" w:lineRule="auto"/>
        <w:jc w:val="both"/>
        <w:rPr>
          <w:sz w:val="20"/>
          <w:szCs w:val="20"/>
          <w:highlight w:val="white"/>
        </w:rPr>
      </w:pPr>
      <w:r>
        <w:rPr>
          <w:sz w:val="20"/>
          <w:szCs w:val="20"/>
          <w:highlight w:val="white"/>
        </w:rPr>
        <w:t>These guidelines shall ensure uniformity of proposals su</w:t>
      </w:r>
      <w:r>
        <w:rPr>
          <w:sz w:val="20"/>
          <w:szCs w:val="20"/>
          <w:highlight w:val="white"/>
        </w:rPr>
        <w:t>bmitted by all applicants and transparency of the evaluation process.</w:t>
      </w:r>
    </w:p>
    <w:p w:rsidR="00395BFB" w:rsidRDefault="00280084">
      <w:pPr>
        <w:widowControl w:val="0"/>
        <w:numPr>
          <w:ilvl w:val="0"/>
          <w:numId w:val="15"/>
        </w:numPr>
        <w:pBdr>
          <w:top w:val="nil"/>
          <w:left w:val="nil"/>
          <w:bottom w:val="nil"/>
          <w:right w:val="nil"/>
          <w:between w:val="nil"/>
        </w:pBdr>
        <w:spacing w:line="276" w:lineRule="auto"/>
        <w:jc w:val="both"/>
        <w:rPr>
          <w:sz w:val="20"/>
          <w:szCs w:val="20"/>
          <w:highlight w:val="white"/>
        </w:rPr>
      </w:pPr>
      <w:r>
        <w:rPr>
          <w:b/>
          <w:bCs/>
          <w:sz w:val="20"/>
          <w:szCs w:val="20"/>
          <w:highlight w:val="white"/>
        </w:rPr>
        <w:t>Eligibility Criteria</w:t>
      </w:r>
    </w:p>
    <w:p w:rsidR="00395BFB" w:rsidRDefault="00280084">
      <w:pPr>
        <w:widowControl w:val="0"/>
        <w:spacing w:before="200" w:after="120" w:line="276" w:lineRule="auto"/>
        <w:jc w:val="both"/>
        <w:rPr>
          <w:sz w:val="20"/>
          <w:szCs w:val="20"/>
          <w:highlight w:val="white"/>
        </w:rPr>
      </w:pPr>
      <w:r>
        <w:rPr>
          <w:sz w:val="20"/>
          <w:szCs w:val="20"/>
          <w:highlight w:val="white"/>
        </w:rPr>
        <w:t>The proposal must include, at minimum, a sector-wise structured core team appropriate to the assignment. This should include: (</w:t>
      </w:r>
      <w:proofErr w:type="spellStart"/>
      <w:r>
        <w:rPr>
          <w:sz w:val="20"/>
          <w:szCs w:val="20"/>
          <w:highlight w:val="white"/>
        </w:rPr>
        <w:t>i</w:t>
      </w:r>
      <w:proofErr w:type="spellEnd"/>
      <w:r>
        <w:rPr>
          <w:sz w:val="20"/>
          <w:szCs w:val="20"/>
          <w:highlight w:val="white"/>
        </w:rPr>
        <w:t>) Team Leader / Research Lead; (ii) Nutrition / Public Health Specialist; (iii) Agriculture / Market Systems Specialist; (iv) WA</w:t>
      </w:r>
      <w:r>
        <w:rPr>
          <w:sz w:val="20"/>
          <w:szCs w:val="20"/>
          <w:highlight w:val="white"/>
        </w:rPr>
        <w:t>SH Specialist; (v) MEL / Quantitative Analysis Lead; (vi) Qualitative / Learning Specialist; and (vii) Field Coordination / Operations Lead. The proposed team should normally comprise at least 6–7 core members, excluding enumerators and short-term field st</w:t>
      </w:r>
      <w:r>
        <w:rPr>
          <w:sz w:val="20"/>
          <w:szCs w:val="20"/>
          <w:highlight w:val="white"/>
        </w:rPr>
        <w:t xml:space="preserve">aff. </w:t>
      </w:r>
      <w:r>
        <w:rPr>
          <w:sz w:val="20"/>
          <w:szCs w:val="20"/>
          <w:highlight w:val="white"/>
        </w:rPr>
        <w:t>The applicant must meet the following criteria.</w:t>
      </w:r>
    </w:p>
    <w:p w:rsidR="00395BFB" w:rsidRDefault="00280084">
      <w:pPr>
        <w:widowControl w:val="0"/>
        <w:numPr>
          <w:ilvl w:val="0"/>
          <w:numId w:val="10"/>
        </w:numPr>
        <w:pBdr>
          <w:top w:val="nil"/>
          <w:left w:val="nil"/>
          <w:bottom w:val="nil"/>
          <w:right w:val="nil"/>
          <w:between w:val="nil"/>
        </w:pBdr>
        <w:spacing w:line="276" w:lineRule="auto"/>
        <w:jc w:val="both"/>
        <w:rPr>
          <w:sz w:val="20"/>
          <w:szCs w:val="20"/>
          <w:highlight w:val="white"/>
        </w:rPr>
      </w:pPr>
      <w:r>
        <w:rPr>
          <w:sz w:val="20"/>
          <w:szCs w:val="20"/>
          <w:highlight w:val="white"/>
        </w:rPr>
        <w:t xml:space="preserve">Minimum 10 years of relevant professional experience, including completion of at least five </w:t>
      </w:r>
      <w:r>
        <w:rPr>
          <w:sz w:val="20"/>
          <w:szCs w:val="20"/>
          <w:highlight w:val="white"/>
        </w:rPr>
        <w:lastRenderedPageBreak/>
        <w:t>large scale evaluations, assessments, or Intermediate Outcome and Thematic Learning Assessment studies within t</w:t>
      </w:r>
      <w:r>
        <w:rPr>
          <w:sz w:val="20"/>
          <w:szCs w:val="20"/>
          <w:highlight w:val="white"/>
        </w:rPr>
        <w:t xml:space="preserve">he last three years. The firm should demonstrate experience in mixed-methods evaluation, outcome and intermediate outcome assessment, thematic learning studies, and evidence generation for adaptive management. </w:t>
      </w:r>
    </w:p>
    <w:p w:rsidR="00395BFB" w:rsidRDefault="00280084">
      <w:pPr>
        <w:widowControl w:val="0"/>
        <w:numPr>
          <w:ilvl w:val="0"/>
          <w:numId w:val="10"/>
        </w:numPr>
        <w:pBdr>
          <w:top w:val="nil"/>
          <w:left w:val="nil"/>
          <w:bottom w:val="nil"/>
          <w:right w:val="nil"/>
          <w:between w:val="nil"/>
        </w:pBdr>
        <w:spacing w:line="276" w:lineRule="auto"/>
        <w:jc w:val="both"/>
        <w:rPr>
          <w:sz w:val="20"/>
          <w:szCs w:val="20"/>
          <w:highlight w:val="white"/>
        </w:rPr>
      </w:pPr>
      <w:r>
        <w:rPr>
          <w:sz w:val="20"/>
          <w:szCs w:val="20"/>
          <w:highlight w:val="white"/>
        </w:rPr>
        <w:t>Demonstrated experience with market system research/study/survey/impact assessment</w:t>
      </w:r>
      <w:r>
        <w:rPr>
          <w:sz w:val="20"/>
          <w:szCs w:val="20"/>
          <w:highlight w:val="white"/>
        </w:rPr>
        <w:t>; experience with</w:t>
      </w:r>
      <w:r>
        <w:rPr>
          <w:sz w:val="20"/>
          <w:szCs w:val="20"/>
          <w:highlight w:val="white"/>
        </w:rPr>
        <w:t xml:space="preserve"> Market Systems Development (MSD) and Making Markets Work for the Poor (M4P) approach will get preference</w:t>
      </w:r>
    </w:p>
    <w:p w:rsidR="00395BFB" w:rsidRDefault="00280084">
      <w:pPr>
        <w:widowControl w:val="0"/>
        <w:numPr>
          <w:ilvl w:val="0"/>
          <w:numId w:val="10"/>
        </w:numPr>
        <w:pBdr>
          <w:top w:val="nil"/>
          <w:left w:val="nil"/>
          <w:bottom w:val="nil"/>
          <w:right w:val="nil"/>
          <w:between w:val="nil"/>
        </w:pBdr>
        <w:spacing w:line="276" w:lineRule="auto"/>
        <w:jc w:val="both"/>
        <w:rPr>
          <w:sz w:val="20"/>
          <w:szCs w:val="20"/>
          <w:highlight w:val="white"/>
        </w:rPr>
      </w:pPr>
      <w:r>
        <w:rPr>
          <w:sz w:val="20"/>
          <w:szCs w:val="20"/>
          <w:highlight w:val="white"/>
        </w:rPr>
        <w:t>Proven experience of conducting project progress tr</w:t>
      </w:r>
      <w:r>
        <w:rPr>
          <w:sz w:val="20"/>
          <w:szCs w:val="20"/>
          <w:highlight w:val="white"/>
        </w:rPr>
        <w:t>acking studies on market-based interventions in a rural setting</w:t>
      </w:r>
    </w:p>
    <w:p w:rsidR="00395BFB" w:rsidRDefault="00280084">
      <w:pPr>
        <w:widowControl w:val="0"/>
        <w:spacing w:before="240" w:after="240" w:line="276" w:lineRule="auto"/>
        <w:jc w:val="both"/>
        <w:rPr>
          <w:sz w:val="20"/>
          <w:szCs w:val="20"/>
          <w:highlight w:val="white"/>
        </w:rPr>
      </w:pPr>
      <w:r>
        <w:rPr>
          <w:sz w:val="20"/>
          <w:szCs w:val="20"/>
          <w:highlight w:val="white"/>
        </w:rPr>
        <w:t>The firm or consultants engaged for this assignment must possess the following qualifications and experience:</w:t>
      </w:r>
    </w:p>
    <w:p w:rsidR="00395BFB" w:rsidRDefault="00280084">
      <w:pPr>
        <w:widowControl w:val="0"/>
        <w:numPr>
          <w:ilvl w:val="0"/>
          <w:numId w:val="9"/>
        </w:numPr>
        <w:spacing w:before="240" w:line="276" w:lineRule="auto"/>
        <w:rPr>
          <w:sz w:val="20"/>
          <w:szCs w:val="20"/>
          <w:highlight w:val="white"/>
        </w:rPr>
      </w:pPr>
      <w:r>
        <w:rPr>
          <w:b/>
          <w:bCs/>
          <w:sz w:val="20"/>
          <w:szCs w:val="20"/>
          <w:highlight w:val="white"/>
        </w:rPr>
        <w:t>Expertise in Nutrition and Health Systems</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Proven experience in conducting large-s</w:t>
      </w:r>
      <w:r>
        <w:rPr>
          <w:sz w:val="20"/>
          <w:szCs w:val="20"/>
          <w:highlight w:val="white"/>
        </w:rPr>
        <w:t>cale nutrition and health system assessments, preferably related to maternal and child health in low- and middle-income countries (LMICs).</w:t>
      </w:r>
    </w:p>
    <w:p w:rsidR="00395BFB" w:rsidRDefault="00280084">
      <w:pPr>
        <w:widowControl w:val="0"/>
        <w:numPr>
          <w:ilvl w:val="1"/>
          <w:numId w:val="9"/>
        </w:numPr>
        <w:spacing w:line="276" w:lineRule="auto"/>
        <w:rPr>
          <w:sz w:val="20"/>
          <w:szCs w:val="20"/>
          <w:highlight w:val="white"/>
        </w:rPr>
      </w:pPr>
      <w:r>
        <w:rPr>
          <w:sz w:val="20"/>
          <w:szCs w:val="20"/>
          <w:highlight w:val="white"/>
        </w:rPr>
        <w:t>Advanced degrees are required for key experts, with at least a Master’s degree in relevant fields such as public heal</w:t>
      </w:r>
      <w:r>
        <w:rPr>
          <w:sz w:val="20"/>
          <w:szCs w:val="20"/>
          <w:highlight w:val="white"/>
        </w:rPr>
        <w:t>th, nutrition, epidemiology, statistics, economics, agriculture, WASH, social science, development studies, or related disciplines. A doctoral degree in a relevant field will be considered an advantage but is not mandatory.</w:t>
      </w:r>
    </w:p>
    <w:p w:rsidR="00395BFB" w:rsidRDefault="00280084">
      <w:pPr>
        <w:widowControl w:val="0"/>
        <w:numPr>
          <w:ilvl w:val="0"/>
          <w:numId w:val="9"/>
        </w:numPr>
        <w:spacing w:line="276" w:lineRule="auto"/>
        <w:rPr>
          <w:sz w:val="20"/>
          <w:szCs w:val="20"/>
          <w:highlight w:val="white"/>
        </w:rPr>
      </w:pPr>
      <w:r>
        <w:rPr>
          <w:b/>
          <w:bCs/>
          <w:sz w:val="20"/>
          <w:szCs w:val="20"/>
          <w:highlight w:val="white"/>
        </w:rPr>
        <w:t>Research Design and Protocol Dev</w:t>
      </w:r>
      <w:r>
        <w:rPr>
          <w:b/>
          <w:bCs/>
          <w:sz w:val="20"/>
          <w:szCs w:val="20"/>
          <w:highlight w:val="white"/>
        </w:rPr>
        <w:t>elopment</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Expertise in designing and implementing quantitative and mixed-methods research, including experience in developing study protocols and data collection tools.</w:t>
      </w:r>
    </w:p>
    <w:p w:rsidR="00395BFB" w:rsidRDefault="00280084">
      <w:pPr>
        <w:widowControl w:val="0"/>
        <w:numPr>
          <w:ilvl w:val="1"/>
          <w:numId w:val="9"/>
        </w:numPr>
        <w:spacing w:line="276" w:lineRule="auto"/>
        <w:rPr>
          <w:sz w:val="20"/>
          <w:szCs w:val="20"/>
          <w:highlight w:val="white"/>
        </w:rPr>
      </w:pPr>
      <w:r>
        <w:rPr>
          <w:sz w:val="20"/>
          <w:szCs w:val="20"/>
          <w:highlight w:val="white"/>
        </w:rPr>
        <w:t>Familiarity with cross-sectional survey designs, sampling methodologies, and data analysis techniques relevant to health and nutrition assessments.</w:t>
      </w:r>
    </w:p>
    <w:p w:rsidR="00395BFB" w:rsidRDefault="00280084">
      <w:pPr>
        <w:widowControl w:val="0"/>
        <w:numPr>
          <w:ilvl w:val="0"/>
          <w:numId w:val="9"/>
        </w:numPr>
        <w:spacing w:line="276" w:lineRule="auto"/>
        <w:rPr>
          <w:sz w:val="20"/>
          <w:szCs w:val="20"/>
          <w:highlight w:val="white"/>
        </w:rPr>
      </w:pPr>
      <w:r>
        <w:rPr>
          <w:b/>
          <w:bCs/>
          <w:sz w:val="20"/>
          <w:szCs w:val="20"/>
          <w:highlight w:val="white"/>
        </w:rPr>
        <w:t>Experience in Fieldwork and Data Collection</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 xml:space="preserve">Extensive experience in planning and executing data collection </w:t>
      </w:r>
      <w:r>
        <w:rPr>
          <w:sz w:val="20"/>
          <w:szCs w:val="20"/>
          <w:highlight w:val="white"/>
        </w:rPr>
        <w:t>in diverse and challenging environments, including the ability to train and manage data collection teams.</w:t>
      </w:r>
    </w:p>
    <w:p w:rsidR="00395BFB" w:rsidRDefault="00280084">
      <w:pPr>
        <w:widowControl w:val="0"/>
        <w:numPr>
          <w:ilvl w:val="1"/>
          <w:numId w:val="9"/>
        </w:numPr>
        <w:spacing w:line="276" w:lineRule="auto"/>
        <w:rPr>
          <w:sz w:val="20"/>
          <w:szCs w:val="20"/>
          <w:highlight w:val="white"/>
        </w:rPr>
      </w:pPr>
      <w:r>
        <w:rPr>
          <w:sz w:val="20"/>
          <w:szCs w:val="20"/>
          <w:highlight w:val="white"/>
        </w:rPr>
        <w:t>Previous experience working in the selected regions, with a strong understanding of local contexts, challenges, and cultural considerations.</w:t>
      </w:r>
    </w:p>
    <w:p w:rsidR="00395BFB" w:rsidRDefault="00280084">
      <w:pPr>
        <w:widowControl w:val="0"/>
        <w:numPr>
          <w:ilvl w:val="1"/>
          <w:numId w:val="9"/>
        </w:numPr>
        <w:spacing w:line="276" w:lineRule="auto"/>
        <w:rPr>
          <w:sz w:val="20"/>
          <w:szCs w:val="20"/>
          <w:highlight w:val="white"/>
        </w:rPr>
      </w:pPr>
      <w:r>
        <w:rPr>
          <w:sz w:val="20"/>
          <w:szCs w:val="20"/>
          <w:highlight w:val="white"/>
        </w:rPr>
        <w:t>Ability t</w:t>
      </w:r>
      <w:r>
        <w:rPr>
          <w:sz w:val="20"/>
          <w:szCs w:val="20"/>
          <w:highlight w:val="white"/>
        </w:rPr>
        <w:t>o use digital data collection platforms (e.g., Survey CTO, Open Data Kit (ODK)) for real-time data collection, monitoring, and quality assurance.</w:t>
      </w:r>
    </w:p>
    <w:p w:rsidR="00395BFB" w:rsidRDefault="00280084">
      <w:pPr>
        <w:widowControl w:val="0"/>
        <w:numPr>
          <w:ilvl w:val="0"/>
          <w:numId w:val="9"/>
        </w:numPr>
        <w:spacing w:line="276" w:lineRule="auto"/>
        <w:rPr>
          <w:sz w:val="20"/>
          <w:szCs w:val="20"/>
          <w:highlight w:val="white"/>
        </w:rPr>
      </w:pPr>
      <w:r>
        <w:rPr>
          <w:b/>
          <w:bCs/>
          <w:sz w:val="20"/>
          <w:szCs w:val="20"/>
          <w:highlight w:val="white"/>
        </w:rPr>
        <w:t>Data Management and Analysis</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 xml:space="preserve">Proficiency in using statistical software such as STATA, R, or equivalent tools </w:t>
      </w:r>
      <w:r>
        <w:rPr>
          <w:sz w:val="20"/>
          <w:szCs w:val="20"/>
          <w:highlight w:val="white"/>
        </w:rPr>
        <w:t>for data cleaning, management, and analysis.</w:t>
      </w:r>
    </w:p>
    <w:p w:rsidR="00395BFB" w:rsidRDefault="00280084">
      <w:pPr>
        <w:widowControl w:val="0"/>
        <w:numPr>
          <w:ilvl w:val="1"/>
          <w:numId w:val="9"/>
        </w:numPr>
        <w:spacing w:line="276" w:lineRule="auto"/>
        <w:rPr>
          <w:sz w:val="20"/>
          <w:szCs w:val="20"/>
          <w:highlight w:val="white"/>
        </w:rPr>
      </w:pPr>
      <w:r>
        <w:rPr>
          <w:sz w:val="20"/>
          <w:szCs w:val="20"/>
          <w:highlight w:val="white"/>
        </w:rPr>
        <w:t>Proven experience in survey data management and analysis, including database management, data analysis, and production of quality reports.</w:t>
      </w:r>
    </w:p>
    <w:p w:rsidR="00395BFB" w:rsidRDefault="00280084">
      <w:pPr>
        <w:widowControl w:val="0"/>
        <w:numPr>
          <w:ilvl w:val="1"/>
          <w:numId w:val="9"/>
        </w:numPr>
        <w:spacing w:line="276" w:lineRule="auto"/>
        <w:rPr>
          <w:sz w:val="20"/>
          <w:szCs w:val="20"/>
          <w:highlight w:val="white"/>
        </w:rPr>
      </w:pPr>
      <w:r>
        <w:rPr>
          <w:sz w:val="20"/>
          <w:szCs w:val="20"/>
          <w:highlight w:val="white"/>
        </w:rPr>
        <w:t>At least 3 years of proven experience in conducting qualitative and quan</w:t>
      </w:r>
      <w:r>
        <w:rPr>
          <w:sz w:val="20"/>
          <w:szCs w:val="20"/>
          <w:highlight w:val="white"/>
        </w:rPr>
        <w:t>titative health surveys.</w:t>
      </w:r>
    </w:p>
    <w:p w:rsidR="00395BFB" w:rsidRDefault="00280084">
      <w:pPr>
        <w:widowControl w:val="0"/>
        <w:numPr>
          <w:ilvl w:val="0"/>
          <w:numId w:val="9"/>
        </w:numPr>
        <w:spacing w:line="276" w:lineRule="auto"/>
        <w:rPr>
          <w:sz w:val="20"/>
          <w:szCs w:val="20"/>
          <w:highlight w:val="white"/>
        </w:rPr>
      </w:pPr>
      <w:r>
        <w:rPr>
          <w:b/>
          <w:bCs/>
          <w:sz w:val="20"/>
          <w:szCs w:val="20"/>
          <w:highlight w:val="white"/>
        </w:rPr>
        <w:t>Ethics and Compliance</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Demonstrated experience in obtaining ethical approvals and managing research protocols in compliance with national and international research ethics guidelines.</w:t>
      </w:r>
    </w:p>
    <w:p w:rsidR="00395BFB" w:rsidRDefault="00280084">
      <w:pPr>
        <w:widowControl w:val="0"/>
        <w:numPr>
          <w:ilvl w:val="1"/>
          <w:numId w:val="9"/>
        </w:numPr>
        <w:spacing w:line="276" w:lineRule="auto"/>
        <w:rPr>
          <w:sz w:val="20"/>
          <w:szCs w:val="20"/>
          <w:highlight w:val="white"/>
        </w:rPr>
      </w:pPr>
      <w:r>
        <w:rPr>
          <w:sz w:val="20"/>
          <w:szCs w:val="20"/>
          <w:highlight w:val="white"/>
        </w:rPr>
        <w:t>Familiarity with informed consent processes and</w:t>
      </w:r>
      <w:r>
        <w:rPr>
          <w:sz w:val="20"/>
          <w:szCs w:val="20"/>
          <w:highlight w:val="white"/>
        </w:rPr>
        <w:t xml:space="preserve"> safeguarding the rights, privacy, and well-being of study participants.</w:t>
      </w:r>
    </w:p>
    <w:p w:rsidR="00395BFB" w:rsidRDefault="00280084">
      <w:pPr>
        <w:widowControl w:val="0"/>
        <w:numPr>
          <w:ilvl w:val="0"/>
          <w:numId w:val="9"/>
        </w:numPr>
        <w:spacing w:line="276" w:lineRule="auto"/>
        <w:rPr>
          <w:sz w:val="20"/>
          <w:szCs w:val="20"/>
          <w:highlight w:val="white"/>
        </w:rPr>
      </w:pPr>
      <w:r>
        <w:rPr>
          <w:b/>
          <w:bCs/>
          <w:sz w:val="20"/>
          <w:szCs w:val="20"/>
          <w:highlight w:val="white"/>
        </w:rPr>
        <w:lastRenderedPageBreak/>
        <w:t>Reporting and Documentation Skills</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 xml:space="preserve">Proven experience in writing comprehensive research and investigation reports, including Intermediate Outcome and Thematic Learning Assessment and </w:t>
      </w:r>
      <w:proofErr w:type="spellStart"/>
      <w:r>
        <w:rPr>
          <w:sz w:val="20"/>
          <w:szCs w:val="20"/>
          <w:highlight w:val="white"/>
        </w:rPr>
        <w:t>endline</w:t>
      </w:r>
      <w:proofErr w:type="spellEnd"/>
      <w:r>
        <w:rPr>
          <w:sz w:val="20"/>
          <w:szCs w:val="20"/>
          <w:highlight w:val="white"/>
        </w:rPr>
        <w:t xml:space="preserve"> assessments, with clear findings, recommendations, and action points.</w:t>
      </w:r>
    </w:p>
    <w:p w:rsidR="00395BFB" w:rsidRDefault="00280084">
      <w:pPr>
        <w:widowControl w:val="0"/>
        <w:numPr>
          <w:ilvl w:val="1"/>
          <w:numId w:val="9"/>
        </w:numPr>
        <w:spacing w:line="276" w:lineRule="auto"/>
        <w:rPr>
          <w:sz w:val="20"/>
          <w:szCs w:val="20"/>
          <w:highlight w:val="white"/>
        </w:rPr>
      </w:pPr>
      <w:r>
        <w:rPr>
          <w:sz w:val="20"/>
          <w:szCs w:val="20"/>
          <w:highlight w:val="white"/>
        </w:rPr>
        <w:t>Ability to prepare well-documented reports and to present study findings to a wide range of stakeholders, including government officials, partners, and donors.</w:t>
      </w:r>
    </w:p>
    <w:p w:rsidR="00395BFB" w:rsidRDefault="00280084">
      <w:pPr>
        <w:widowControl w:val="0"/>
        <w:numPr>
          <w:ilvl w:val="0"/>
          <w:numId w:val="9"/>
        </w:numPr>
        <w:spacing w:line="276" w:lineRule="auto"/>
        <w:rPr>
          <w:sz w:val="20"/>
          <w:szCs w:val="20"/>
          <w:highlight w:val="white"/>
        </w:rPr>
      </w:pPr>
      <w:r>
        <w:rPr>
          <w:b/>
          <w:bCs/>
          <w:sz w:val="20"/>
          <w:szCs w:val="20"/>
          <w:highlight w:val="white"/>
        </w:rPr>
        <w:t>Relevant Education</w:t>
      </w:r>
      <w:r>
        <w:rPr>
          <w:b/>
          <w:bCs/>
          <w:sz w:val="20"/>
          <w:szCs w:val="20"/>
          <w:highlight w:val="white"/>
        </w:rPr>
        <w:t xml:space="preserve"> and Professional Background</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Team members must possess advanced degrees in relevant fields such as public health, nutrition, epidemiology, social sciences, or similar disciplines.</w:t>
      </w:r>
    </w:p>
    <w:p w:rsidR="00395BFB" w:rsidRDefault="00280084">
      <w:pPr>
        <w:widowControl w:val="0"/>
        <w:numPr>
          <w:ilvl w:val="1"/>
          <w:numId w:val="9"/>
        </w:numPr>
        <w:spacing w:line="276" w:lineRule="auto"/>
        <w:rPr>
          <w:sz w:val="20"/>
          <w:szCs w:val="20"/>
          <w:highlight w:val="white"/>
        </w:rPr>
      </w:pPr>
      <w:r>
        <w:rPr>
          <w:sz w:val="20"/>
          <w:szCs w:val="20"/>
          <w:highlight w:val="white"/>
        </w:rPr>
        <w:t>A minimum of 5-7 years of relevant professional experience, with a focus on</w:t>
      </w:r>
      <w:r>
        <w:rPr>
          <w:sz w:val="20"/>
          <w:szCs w:val="20"/>
          <w:highlight w:val="white"/>
        </w:rPr>
        <w:t xml:space="preserve"> Monitoring, Evaluation, Research, and Learning (MERL) in health and nutrition.</w:t>
      </w:r>
    </w:p>
    <w:p w:rsidR="00395BFB" w:rsidRDefault="00280084">
      <w:pPr>
        <w:widowControl w:val="0"/>
        <w:numPr>
          <w:ilvl w:val="0"/>
          <w:numId w:val="9"/>
        </w:numPr>
        <w:spacing w:line="276" w:lineRule="auto"/>
        <w:rPr>
          <w:sz w:val="20"/>
          <w:szCs w:val="20"/>
          <w:highlight w:val="white"/>
        </w:rPr>
      </w:pPr>
      <w:r>
        <w:rPr>
          <w:b/>
          <w:bCs/>
          <w:sz w:val="20"/>
          <w:szCs w:val="20"/>
          <w:highlight w:val="white"/>
        </w:rPr>
        <w:t>Language Proficiency</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Fluency in English is essential for reporting and documentation.</w:t>
      </w:r>
    </w:p>
    <w:p w:rsidR="00395BFB" w:rsidRDefault="00280084">
      <w:pPr>
        <w:widowControl w:val="0"/>
        <w:numPr>
          <w:ilvl w:val="0"/>
          <w:numId w:val="9"/>
        </w:numPr>
        <w:spacing w:line="276" w:lineRule="auto"/>
        <w:rPr>
          <w:sz w:val="20"/>
          <w:szCs w:val="20"/>
          <w:highlight w:val="white"/>
        </w:rPr>
      </w:pPr>
      <w:r>
        <w:rPr>
          <w:b/>
          <w:bCs/>
          <w:sz w:val="20"/>
          <w:szCs w:val="20"/>
          <w:highlight w:val="white"/>
        </w:rPr>
        <w:t>Experience with Stakeholder Engagement</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Ability to effectively coordinate with government</w:t>
      </w:r>
      <w:r>
        <w:rPr>
          <w:sz w:val="20"/>
          <w:szCs w:val="20"/>
          <w:highlight w:val="white"/>
        </w:rPr>
        <w:t xml:space="preserve"> bodies, local authorities, and community stakeholders to facilitate the study.</w:t>
      </w:r>
    </w:p>
    <w:p w:rsidR="00395BFB" w:rsidRDefault="00280084">
      <w:pPr>
        <w:widowControl w:val="0"/>
        <w:numPr>
          <w:ilvl w:val="1"/>
          <w:numId w:val="9"/>
        </w:numPr>
        <w:spacing w:line="276" w:lineRule="auto"/>
        <w:rPr>
          <w:sz w:val="20"/>
          <w:szCs w:val="20"/>
          <w:highlight w:val="white"/>
        </w:rPr>
      </w:pPr>
      <w:r>
        <w:rPr>
          <w:sz w:val="20"/>
          <w:szCs w:val="20"/>
          <w:highlight w:val="white"/>
        </w:rPr>
        <w:t>Experience in organizing and conducting training, workshops, and dissemination meetings with different levels of stakeholders.</w:t>
      </w:r>
    </w:p>
    <w:p w:rsidR="00395BFB" w:rsidRDefault="00280084">
      <w:pPr>
        <w:widowControl w:val="0"/>
        <w:numPr>
          <w:ilvl w:val="0"/>
          <w:numId w:val="9"/>
        </w:numPr>
        <w:spacing w:line="276" w:lineRule="auto"/>
        <w:rPr>
          <w:sz w:val="20"/>
          <w:szCs w:val="20"/>
          <w:highlight w:val="white"/>
        </w:rPr>
      </w:pPr>
      <w:r>
        <w:rPr>
          <w:b/>
          <w:bCs/>
          <w:sz w:val="20"/>
          <w:szCs w:val="20"/>
          <w:highlight w:val="white"/>
        </w:rPr>
        <w:t>Flexibility and Interpersonal Skills</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 xml:space="preserve">Ability to </w:t>
      </w:r>
      <w:r>
        <w:rPr>
          <w:sz w:val="20"/>
          <w:szCs w:val="20"/>
          <w:highlight w:val="white"/>
        </w:rPr>
        <w:t>work independently and in a team environment with excellent interpersonal skills.</w:t>
      </w:r>
    </w:p>
    <w:p w:rsidR="00395BFB" w:rsidRDefault="00280084">
      <w:pPr>
        <w:widowControl w:val="0"/>
        <w:numPr>
          <w:ilvl w:val="1"/>
          <w:numId w:val="9"/>
        </w:numPr>
        <w:spacing w:line="276" w:lineRule="auto"/>
        <w:rPr>
          <w:sz w:val="20"/>
          <w:szCs w:val="20"/>
          <w:highlight w:val="white"/>
        </w:rPr>
      </w:pPr>
      <w:r>
        <w:rPr>
          <w:sz w:val="20"/>
          <w:szCs w:val="20"/>
          <w:highlight w:val="white"/>
        </w:rPr>
        <w:t>Flexibility to work in the field, travel to survey areas, and adapt to local conditions and challenges.</w:t>
      </w:r>
    </w:p>
    <w:p w:rsidR="00395BFB" w:rsidRDefault="00280084">
      <w:pPr>
        <w:widowControl w:val="0"/>
        <w:numPr>
          <w:ilvl w:val="0"/>
          <w:numId w:val="9"/>
        </w:numPr>
        <w:spacing w:line="276" w:lineRule="auto"/>
        <w:rPr>
          <w:sz w:val="20"/>
          <w:szCs w:val="20"/>
          <w:highlight w:val="white"/>
        </w:rPr>
      </w:pPr>
      <w:r>
        <w:rPr>
          <w:b/>
          <w:bCs/>
          <w:sz w:val="20"/>
          <w:szCs w:val="20"/>
          <w:highlight w:val="white"/>
        </w:rPr>
        <w:t>Computer and Digital Literacy</w:t>
      </w:r>
      <w:r>
        <w:rPr>
          <w:sz w:val="20"/>
          <w:szCs w:val="20"/>
          <w:highlight w:val="white"/>
        </w:rPr>
        <w:t>:</w:t>
      </w:r>
    </w:p>
    <w:p w:rsidR="00395BFB" w:rsidRDefault="00280084">
      <w:pPr>
        <w:widowControl w:val="0"/>
        <w:numPr>
          <w:ilvl w:val="1"/>
          <w:numId w:val="9"/>
        </w:numPr>
        <w:spacing w:line="276" w:lineRule="auto"/>
        <w:rPr>
          <w:sz w:val="20"/>
          <w:szCs w:val="20"/>
          <w:highlight w:val="white"/>
        </w:rPr>
      </w:pPr>
      <w:r>
        <w:rPr>
          <w:sz w:val="20"/>
          <w:szCs w:val="20"/>
          <w:highlight w:val="white"/>
        </w:rPr>
        <w:t>Mastery of essential computer tools including word processing, database management, and internet proficiency.</w:t>
      </w:r>
    </w:p>
    <w:p w:rsidR="00395BFB" w:rsidRDefault="00280084">
      <w:pPr>
        <w:widowControl w:val="0"/>
        <w:numPr>
          <w:ilvl w:val="1"/>
          <w:numId w:val="9"/>
        </w:numPr>
        <w:spacing w:after="240" w:line="276" w:lineRule="auto"/>
        <w:rPr>
          <w:sz w:val="20"/>
          <w:szCs w:val="20"/>
          <w:highlight w:val="white"/>
        </w:rPr>
      </w:pPr>
      <w:r>
        <w:rPr>
          <w:sz w:val="20"/>
          <w:szCs w:val="20"/>
          <w:highlight w:val="white"/>
        </w:rPr>
        <w:t>Ability to utilize digital solutions for data collection and management efficiently.</w:t>
      </w:r>
    </w:p>
    <w:p w:rsidR="00395BFB" w:rsidRDefault="00280084">
      <w:pPr>
        <w:widowControl w:val="0"/>
        <w:spacing w:before="240" w:after="240" w:line="276" w:lineRule="auto"/>
        <w:jc w:val="both"/>
        <w:rPr>
          <w:sz w:val="20"/>
          <w:szCs w:val="20"/>
          <w:highlight w:val="white"/>
        </w:rPr>
      </w:pPr>
      <w:r>
        <w:rPr>
          <w:sz w:val="20"/>
          <w:szCs w:val="20"/>
          <w:highlight w:val="white"/>
        </w:rPr>
        <w:t>The selected firm or consultants must provide evidence of the</w:t>
      </w:r>
      <w:r>
        <w:rPr>
          <w:sz w:val="20"/>
          <w:szCs w:val="20"/>
          <w:highlight w:val="white"/>
        </w:rPr>
        <w:t xml:space="preserve">ir experience and expertise, including samples of similar projects conducted, references, and a detailed resume of the team members who will be engaged in the assignment. They must also be available during the specified project period to ensure successful </w:t>
      </w:r>
      <w:r>
        <w:rPr>
          <w:sz w:val="20"/>
          <w:szCs w:val="20"/>
          <w:highlight w:val="white"/>
        </w:rPr>
        <w:t>implementation and delivery of expected outputs.</w:t>
      </w:r>
    </w:p>
    <w:p w:rsidR="00395BFB" w:rsidRDefault="00395BFB">
      <w:pPr>
        <w:widowControl w:val="0"/>
        <w:pBdr>
          <w:top w:val="nil"/>
          <w:left w:val="nil"/>
          <w:bottom w:val="nil"/>
          <w:right w:val="nil"/>
          <w:between w:val="nil"/>
        </w:pBdr>
        <w:spacing w:line="276" w:lineRule="auto"/>
        <w:jc w:val="both"/>
        <w:rPr>
          <w:sz w:val="20"/>
          <w:szCs w:val="20"/>
          <w:highlight w:val="white"/>
        </w:rPr>
      </w:pPr>
    </w:p>
    <w:p w:rsidR="00395BFB" w:rsidRDefault="00395BFB">
      <w:pPr>
        <w:widowControl w:val="0"/>
        <w:pBdr>
          <w:top w:val="nil"/>
          <w:left w:val="nil"/>
          <w:bottom w:val="nil"/>
          <w:right w:val="nil"/>
          <w:between w:val="nil"/>
        </w:pBdr>
        <w:spacing w:line="276" w:lineRule="auto"/>
        <w:jc w:val="both"/>
        <w:rPr>
          <w:sz w:val="20"/>
          <w:szCs w:val="20"/>
          <w:highlight w:val="white"/>
        </w:rPr>
      </w:pPr>
    </w:p>
    <w:p w:rsidR="00395BFB" w:rsidRDefault="00280084">
      <w:pPr>
        <w:widowControl w:val="0"/>
        <w:pBdr>
          <w:top w:val="nil"/>
          <w:left w:val="nil"/>
          <w:bottom w:val="nil"/>
          <w:right w:val="nil"/>
          <w:between w:val="nil"/>
        </w:pBdr>
        <w:spacing w:line="276" w:lineRule="auto"/>
        <w:jc w:val="both"/>
        <w:rPr>
          <w:sz w:val="20"/>
          <w:szCs w:val="20"/>
          <w:highlight w:val="white"/>
        </w:rPr>
      </w:pPr>
      <w:r>
        <w:rPr>
          <w:b/>
          <w:bCs/>
          <w:sz w:val="20"/>
          <w:szCs w:val="20"/>
          <w:highlight w:val="white"/>
        </w:rPr>
        <w:t xml:space="preserve">c) </w:t>
      </w:r>
      <w:r>
        <w:rPr>
          <w:b/>
          <w:bCs/>
          <w:sz w:val="20"/>
          <w:szCs w:val="20"/>
          <w:highlight w:val="white"/>
        </w:rPr>
        <w:t>Bid Submission &amp; Evaluation Criteria</w:t>
      </w:r>
    </w:p>
    <w:p w:rsidR="00395BFB" w:rsidRDefault="00280084">
      <w:pPr>
        <w:spacing w:line="276" w:lineRule="auto"/>
        <w:rPr>
          <w:sz w:val="20"/>
          <w:szCs w:val="20"/>
        </w:rPr>
      </w:pPr>
      <w:r>
        <w:rPr>
          <w:sz w:val="20"/>
          <w:szCs w:val="20"/>
        </w:rPr>
        <w:t>Proposals will be evaluated based on:</w:t>
      </w:r>
    </w:p>
    <w:p w:rsidR="00395BFB" w:rsidRDefault="00395BFB">
      <w:pPr>
        <w:spacing w:line="276" w:lineRule="auto"/>
        <w:rPr>
          <w:sz w:val="20"/>
          <w:szCs w:val="20"/>
        </w:rPr>
      </w:pPr>
    </w:p>
    <w:tbl>
      <w:tblPr>
        <w:tblStyle w:val="afd"/>
        <w:tblW w:w="9025" w:type="dxa"/>
        <w:tblBorders>
          <w:top w:val="nil"/>
          <w:left w:val="nil"/>
          <w:bottom w:val="nil"/>
          <w:right w:val="nil"/>
          <w:insideH w:val="nil"/>
          <w:insideV w:val="nil"/>
        </w:tblBorders>
        <w:tblLayout w:type="fixed"/>
        <w:tblLook w:val="0600" w:firstRow="0" w:lastRow="0" w:firstColumn="0" w:lastColumn="0" w:noHBand="1" w:noVBand="1"/>
      </w:tblPr>
      <w:tblGrid>
        <w:gridCol w:w="614"/>
        <w:gridCol w:w="5893"/>
        <w:gridCol w:w="1109"/>
        <w:gridCol w:w="1409"/>
      </w:tblGrid>
      <w:tr w:rsidR="00395BFB">
        <w:trPr>
          <w:trHeight w:val="1035"/>
        </w:trPr>
        <w:tc>
          <w:tcPr>
            <w:tcW w:w="614" w:type="dxa"/>
            <w:tcBorders>
              <w:top w:val="single" w:sz="7" w:space="0" w:color="CCCCCC"/>
              <w:left w:val="single" w:sz="7" w:space="0" w:color="CCCCCC"/>
              <w:bottom w:val="single" w:sz="7" w:space="0" w:color="CCCCCC"/>
              <w:right w:val="single" w:sz="7" w:space="0" w:color="CCCCCC"/>
            </w:tcBorders>
            <w:shd w:val="clear" w:color="auto" w:fill="50505F"/>
            <w:tcMar>
              <w:top w:w="40" w:type="dxa"/>
              <w:left w:w="40" w:type="dxa"/>
              <w:bottom w:w="40" w:type="dxa"/>
              <w:right w:w="40" w:type="dxa"/>
            </w:tcMar>
            <w:vAlign w:val="bottom"/>
          </w:tcPr>
          <w:p w:rsidR="00395BFB" w:rsidRDefault="00280084">
            <w:pPr>
              <w:spacing w:line="276" w:lineRule="auto"/>
              <w:jc w:val="center"/>
              <w:rPr>
                <w:b/>
                <w:bCs/>
                <w:color w:val="FFFFFF"/>
                <w:sz w:val="20"/>
                <w:szCs w:val="20"/>
              </w:rPr>
            </w:pPr>
            <w:r>
              <w:rPr>
                <w:b/>
                <w:bCs/>
                <w:color w:val="FFFFFF"/>
                <w:sz w:val="20"/>
                <w:szCs w:val="20"/>
              </w:rPr>
              <w:t>S.N.</w:t>
            </w:r>
          </w:p>
        </w:tc>
        <w:tc>
          <w:tcPr>
            <w:tcW w:w="5892" w:type="dxa"/>
            <w:tcBorders>
              <w:top w:val="single" w:sz="7" w:space="0" w:color="CCCCCC"/>
              <w:left w:val="nil"/>
              <w:bottom w:val="single" w:sz="7" w:space="0" w:color="CCCCCC"/>
              <w:right w:val="single" w:sz="7" w:space="0" w:color="CCCCCC"/>
            </w:tcBorders>
            <w:shd w:val="clear" w:color="auto" w:fill="50505F"/>
            <w:tcMar>
              <w:top w:w="40" w:type="dxa"/>
              <w:left w:w="40" w:type="dxa"/>
              <w:bottom w:w="40" w:type="dxa"/>
              <w:right w:w="40" w:type="dxa"/>
            </w:tcMar>
            <w:vAlign w:val="bottom"/>
          </w:tcPr>
          <w:p w:rsidR="00395BFB" w:rsidRDefault="00280084">
            <w:pPr>
              <w:spacing w:line="276" w:lineRule="auto"/>
              <w:jc w:val="center"/>
              <w:rPr>
                <w:b/>
                <w:bCs/>
                <w:color w:val="FFFFFF"/>
                <w:sz w:val="20"/>
                <w:szCs w:val="20"/>
              </w:rPr>
            </w:pPr>
            <w:r>
              <w:rPr>
                <w:b/>
                <w:bCs/>
                <w:color w:val="FFFFFF"/>
                <w:sz w:val="20"/>
                <w:szCs w:val="20"/>
              </w:rPr>
              <w:t>Content of the Proposal</w:t>
            </w:r>
          </w:p>
        </w:tc>
        <w:tc>
          <w:tcPr>
            <w:tcW w:w="1109" w:type="dxa"/>
            <w:tcBorders>
              <w:top w:val="single" w:sz="7" w:space="0" w:color="CCCCCC"/>
              <w:left w:val="nil"/>
              <w:bottom w:val="single" w:sz="7" w:space="0" w:color="CCCCCC"/>
              <w:right w:val="single" w:sz="7" w:space="0" w:color="CCCCCC"/>
            </w:tcBorders>
            <w:shd w:val="clear" w:color="auto" w:fill="50505F"/>
            <w:tcMar>
              <w:top w:w="40" w:type="dxa"/>
              <w:left w:w="40" w:type="dxa"/>
              <w:bottom w:w="40" w:type="dxa"/>
              <w:right w:w="40" w:type="dxa"/>
            </w:tcMar>
            <w:vAlign w:val="bottom"/>
          </w:tcPr>
          <w:p w:rsidR="00395BFB" w:rsidRDefault="00280084">
            <w:pPr>
              <w:spacing w:line="276" w:lineRule="auto"/>
              <w:rPr>
                <w:b/>
                <w:bCs/>
                <w:color w:val="FFFFFF"/>
                <w:sz w:val="20"/>
                <w:szCs w:val="20"/>
              </w:rPr>
            </w:pPr>
            <w:r>
              <w:rPr>
                <w:b/>
                <w:bCs/>
                <w:color w:val="FFFFFF"/>
                <w:sz w:val="20"/>
                <w:szCs w:val="20"/>
              </w:rPr>
              <w:t>Maximum possible points</w:t>
            </w:r>
          </w:p>
        </w:tc>
        <w:tc>
          <w:tcPr>
            <w:tcW w:w="1409" w:type="dxa"/>
            <w:tcBorders>
              <w:top w:val="single" w:sz="7" w:space="0" w:color="CCCCCC"/>
              <w:left w:val="nil"/>
              <w:bottom w:val="single" w:sz="7" w:space="0" w:color="CCCCCC"/>
              <w:right w:val="single" w:sz="7" w:space="0" w:color="CCCCCC"/>
            </w:tcBorders>
            <w:shd w:val="clear" w:color="auto" w:fill="50505F"/>
            <w:tcMar>
              <w:top w:w="40" w:type="dxa"/>
              <w:left w:w="40" w:type="dxa"/>
              <w:bottom w:w="40" w:type="dxa"/>
              <w:right w:w="40" w:type="dxa"/>
            </w:tcMar>
            <w:vAlign w:val="bottom"/>
          </w:tcPr>
          <w:p w:rsidR="00395BFB" w:rsidRDefault="00280084">
            <w:pPr>
              <w:spacing w:line="276" w:lineRule="auto"/>
              <w:rPr>
                <w:b/>
                <w:bCs/>
                <w:color w:val="FFFFFF"/>
                <w:sz w:val="20"/>
                <w:szCs w:val="20"/>
              </w:rPr>
            </w:pPr>
            <w:r>
              <w:rPr>
                <w:b/>
                <w:bCs/>
                <w:color w:val="FFFFFF"/>
                <w:sz w:val="20"/>
                <w:szCs w:val="20"/>
              </w:rPr>
              <w:t>Suggested number of pages</w:t>
            </w:r>
          </w:p>
        </w:tc>
      </w:tr>
      <w:tr w:rsidR="00395BFB">
        <w:trPr>
          <w:trHeight w:val="330"/>
        </w:trPr>
        <w:tc>
          <w:tcPr>
            <w:tcW w:w="9024" w:type="dxa"/>
            <w:gridSpan w:val="4"/>
            <w:tcBorders>
              <w:top w:val="nil"/>
              <w:left w:val="single" w:sz="7" w:space="0" w:color="000000"/>
              <w:bottom w:val="single" w:sz="7" w:space="0" w:color="000000"/>
              <w:right w:val="single" w:sz="7" w:space="0" w:color="000000"/>
            </w:tcBorders>
            <w:shd w:val="clear" w:color="auto" w:fill="CCCCCC"/>
            <w:tcMar>
              <w:top w:w="40" w:type="dxa"/>
              <w:left w:w="40" w:type="dxa"/>
              <w:bottom w:w="40" w:type="dxa"/>
              <w:right w:w="40" w:type="dxa"/>
            </w:tcMar>
            <w:vAlign w:val="bottom"/>
          </w:tcPr>
          <w:p w:rsidR="00395BFB" w:rsidRDefault="00280084">
            <w:pPr>
              <w:spacing w:line="276" w:lineRule="auto"/>
              <w:rPr>
                <w:b/>
                <w:bCs/>
                <w:sz w:val="20"/>
                <w:szCs w:val="20"/>
              </w:rPr>
            </w:pPr>
            <w:r>
              <w:rPr>
                <w:b/>
                <w:bCs/>
                <w:sz w:val="20"/>
                <w:szCs w:val="20"/>
              </w:rPr>
              <w:t>The main part of the proposal</w:t>
            </w:r>
          </w:p>
        </w:tc>
      </w:tr>
      <w:tr w:rsidR="00395BFB">
        <w:trPr>
          <w:trHeight w:val="330"/>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t>1</w:t>
            </w:r>
          </w:p>
        </w:tc>
        <w:tc>
          <w:tcPr>
            <w:tcW w:w="5892"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rPr>
                <w:sz w:val="20"/>
                <w:szCs w:val="20"/>
              </w:rPr>
            </w:pPr>
            <w:r>
              <w:rPr>
                <w:sz w:val="20"/>
                <w:szCs w:val="20"/>
              </w:rPr>
              <w:t>Background/organizational profile of the applicant</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0.5</w:t>
            </w:r>
          </w:p>
        </w:tc>
      </w:tr>
      <w:tr w:rsidR="00395BFB">
        <w:trPr>
          <w:trHeight w:val="1050"/>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lastRenderedPageBreak/>
              <w:t>2</w:t>
            </w:r>
          </w:p>
        </w:tc>
        <w:tc>
          <w:tcPr>
            <w:tcW w:w="5892" w:type="dxa"/>
            <w:tcBorders>
              <w:top w:val="nil"/>
              <w:left w:val="nil"/>
              <w:bottom w:val="single" w:sz="7" w:space="0" w:color="000000"/>
              <w:right w:val="single" w:sz="7" w:space="0" w:color="000000"/>
            </w:tcBorders>
            <w:shd w:val="clear" w:color="auto" w:fill="FFFFFF"/>
            <w:tcMar>
              <w:top w:w="40" w:type="dxa"/>
              <w:left w:w="40" w:type="dxa"/>
              <w:bottom w:w="40" w:type="dxa"/>
              <w:right w:w="40" w:type="dxa"/>
            </w:tcMar>
            <w:vAlign w:val="bottom"/>
          </w:tcPr>
          <w:p w:rsidR="00395BFB" w:rsidRDefault="00280084">
            <w:pPr>
              <w:spacing w:line="276" w:lineRule="auto"/>
              <w:rPr>
                <w:sz w:val="20"/>
                <w:szCs w:val="20"/>
              </w:rPr>
            </w:pPr>
            <w:r>
              <w:rPr>
                <w:sz w:val="20"/>
                <w:szCs w:val="20"/>
              </w:rPr>
              <w:t>Track record of earlier similar studies (the title of study and few lines to the nature of the study, the date of the study was conducted, the name of the client). Recommendations resulting from s</w:t>
            </w:r>
            <w:r>
              <w:rPr>
                <w:sz w:val="20"/>
                <w:szCs w:val="20"/>
              </w:rPr>
              <w:t>uch work may be included in the Annex.</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10</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w:t>
            </w:r>
          </w:p>
        </w:tc>
      </w:tr>
      <w:tr w:rsidR="00395BFB">
        <w:trPr>
          <w:trHeight w:val="555"/>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t>3</w:t>
            </w:r>
          </w:p>
        </w:tc>
        <w:tc>
          <w:tcPr>
            <w:tcW w:w="5892"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rPr>
                <w:sz w:val="20"/>
                <w:szCs w:val="20"/>
              </w:rPr>
            </w:pPr>
            <w:r>
              <w:rPr>
                <w:sz w:val="20"/>
                <w:szCs w:val="20"/>
              </w:rPr>
              <w:t>Team composition and abbreviated CVs of core members of the study team</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10</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w:t>
            </w:r>
          </w:p>
        </w:tc>
      </w:tr>
      <w:tr w:rsidR="00395BFB">
        <w:trPr>
          <w:trHeight w:val="330"/>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t>4</w:t>
            </w:r>
          </w:p>
        </w:tc>
        <w:tc>
          <w:tcPr>
            <w:tcW w:w="5892"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rPr>
                <w:sz w:val="20"/>
                <w:szCs w:val="20"/>
              </w:rPr>
            </w:pPr>
            <w:r>
              <w:rPr>
                <w:sz w:val="20"/>
                <w:szCs w:val="20"/>
              </w:rPr>
              <w:t>Description of understanding of the task at hand</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15</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w:t>
            </w:r>
          </w:p>
        </w:tc>
      </w:tr>
      <w:tr w:rsidR="00395BFB">
        <w:trPr>
          <w:trHeight w:val="555"/>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t>5</w:t>
            </w:r>
          </w:p>
        </w:tc>
        <w:tc>
          <w:tcPr>
            <w:tcW w:w="5892"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rPr>
                <w:sz w:val="20"/>
                <w:szCs w:val="20"/>
              </w:rPr>
            </w:pPr>
            <w:r>
              <w:rPr>
                <w:sz w:val="20"/>
                <w:szCs w:val="20"/>
              </w:rPr>
              <w:t>Proposed methodology to undertake the study to fulfill the objective</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25</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2.5</w:t>
            </w:r>
          </w:p>
        </w:tc>
      </w:tr>
      <w:tr w:rsidR="00395BFB">
        <w:trPr>
          <w:trHeight w:val="330"/>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t>6</w:t>
            </w:r>
          </w:p>
        </w:tc>
        <w:tc>
          <w:tcPr>
            <w:tcW w:w="5892"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rPr>
                <w:sz w:val="20"/>
                <w:szCs w:val="20"/>
              </w:rPr>
            </w:pPr>
            <w:r>
              <w:rPr>
                <w:sz w:val="20"/>
                <w:szCs w:val="20"/>
              </w:rPr>
              <w:t>Timeline/milestones to conduct the assessment in a Gantt Chart</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10</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w:t>
            </w:r>
          </w:p>
        </w:tc>
      </w:tr>
      <w:tr w:rsidR="00395BFB">
        <w:trPr>
          <w:trHeight w:val="1440"/>
        </w:trPr>
        <w:tc>
          <w:tcPr>
            <w:tcW w:w="614" w:type="dxa"/>
            <w:tcBorders>
              <w:top w:val="nil"/>
              <w:left w:val="single" w:sz="7" w:space="0" w:color="000000"/>
              <w:bottom w:val="single" w:sz="7" w:space="0" w:color="CCCCCC"/>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t>7</w:t>
            </w:r>
          </w:p>
        </w:tc>
        <w:tc>
          <w:tcPr>
            <w:tcW w:w="5892" w:type="dxa"/>
            <w:tcBorders>
              <w:top w:val="nil"/>
              <w:left w:val="nil"/>
              <w:bottom w:val="single" w:sz="7" w:space="0" w:color="CCCCCC"/>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rPr>
                <w:sz w:val="20"/>
                <w:szCs w:val="20"/>
              </w:rPr>
            </w:pPr>
            <w:r>
              <w:rPr>
                <w:sz w:val="20"/>
                <w:szCs w:val="20"/>
              </w:rPr>
              <w:t>The budget must be structured as follows:</w:t>
            </w:r>
          </w:p>
          <w:p w:rsidR="00395BFB" w:rsidRDefault="00280084">
            <w:pPr>
              <w:spacing w:line="276" w:lineRule="auto"/>
              <w:rPr>
                <w:sz w:val="20"/>
                <w:szCs w:val="20"/>
              </w:rPr>
            </w:pPr>
            <w:r>
              <w:rPr>
                <w:sz w:val="20"/>
                <w:szCs w:val="20"/>
              </w:rPr>
              <w:t>a) Personnel days with professional fees for each staff assigned</w:t>
            </w:r>
          </w:p>
          <w:p w:rsidR="00395BFB" w:rsidRDefault="00280084">
            <w:pPr>
              <w:spacing w:line="276" w:lineRule="auto"/>
              <w:rPr>
                <w:sz w:val="20"/>
                <w:szCs w:val="20"/>
              </w:rPr>
            </w:pPr>
            <w:r>
              <w:rPr>
                <w:sz w:val="20"/>
                <w:szCs w:val="20"/>
              </w:rPr>
              <w:t>b) Support services (materials, communications, etc.)</w:t>
            </w:r>
          </w:p>
          <w:p w:rsidR="00395BFB" w:rsidRDefault="00280084">
            <w:pPr>
              <w:spacing w:line="276" w:lineRule="auto"/>
              <w:rPr>
                <w:sz w:val="20"/>
                <w:szCs w:val="20"/>
              </w:rPr>
            </w:pPr>
            <w:r>
              <w:rPr>
                <w:sz w:val="20"/>
                <w:szCs w:val="20"/>
              </w:rPr>
              <w:t>c) Travel, Accommodation</w:t>
            </w:r>
          </w:p>
          <w:p w:rsidR="00395BFB" w:rsidRDefault="00280084">
            <w:pPr>
              <w:spacing w:line="276" w:lineRule="auto"/>
              <w:rPr>
                <w:sz w:val="20"/>
                <w:szCs w:val="20"/>
              </w:rPr>
            </w:pPr>
            <w:r>
              <w:rPr>
                <w:sz w:val="20"/>
                <w:szCs w:val="20"/>
              </w:rPr>
              <w:t>d) including VAT and TAX as per Government rules</w:t>
            </w:r>
          </w:p>
        </w:tc>
        <w:tc>
          <w:tcPr>
            <w:tcW w:w="1109" w:type="dxa"/>
            <w:tcBorders>
              <w:top w:val="nil"/>
              <w:left w:val="nil"/>
              <w:bottom w:val="single" w:sz="7" w:space="0" w:color="CCCCCC"/>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30</w:t>
            </w:r>
          </w:p>
        </w:tc>
        <w:tc>
          <w:tcPr>
            <w:tcW w:w="1409" w:type="dxa"/>
            <w:tcBorders>
              <w:top w:val="nil"/>
              <w:left w:val="nil"/>
              <w:bottom w:val="single" w:sz="7" w:space="0" w:color="CCCCCC"/>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1</w:t>
            </w:r>
          </w:p>
        </w:tc>
      </w:tr>
      <w:tr w:rsidR="00395BFB">
        <w:trPr>
          <w:trHeight w:val="330"/>
        </w:trPr>
        <w:tc>
          <w:tcPr>
            <w:tcW w:w="614" w:type="dxa"/>
            <w:tcBorders>
              <w:top w:val="nil"/>
              <w:left w:val="single" w:sz="7" w:space="0" w:color="000000"/>
              <w:bottom w:val="single" w:sz="7" w:space="0" w:color="CCCCCC"/>
              <w:right w:val="single" w:sz="7" w:space="0" w:color="CCCCCC"/>
            </w:tcBorders>
            <w:shd w:val="clear" w:color="auto" w:fill="000000"/>
            <w:tcMar>
              <w:top w:w="40" w:type="dxa"/>
              <w:left w:w="40" w:type="dxa"/>
              <w:bottom w:w="40" w:type="dxa"/>
              <w:right w:w="40" w:type="dxa"/>
            </w:tcMar>
          </w:tcPr>
          <w:p w:rsidR="00395BFB" w:rsidRDefault="00280084">
            <w:pPr>
              <w:spacing w:line="276" w:lineRule="auto"/>
              <w:rPr>
                <w:sz w:val="20"/>
                <w:szCs w:val="20"/>
              </w:rPr>
            </w:pPr>
            <w:r>
              <w:rPr>
                <w:sz w:val="20"/>
                <w:szCs w:val="20"/>
              </w:rPr>
              <w:t xml:space="preserve"> </w:t>
            </w:r>
          </w:p>
        </w:tc>
        <w:tc>
          <w:tcPr>
            <w:tcW w:w="5892" w:type="dxa"/>
            <w:tcBorders>
              <w:top w:val="nil"/>
              <w:left w:val="nil"/>
              <w:bottom w:val="single" w:sz="7" w:space="0" w:color="CCCCCC"/>
              <w:right w:val="single" w:sz="7" w:space="0" w:color="CCCCCC"/>
            </w:tcBorders>
            <w:shd w:val="clear" w:color="auto" w:fill="000000"/>
            <w:tcMar>
              <w:top w:w="40" w:type="dxa"/>
              <w:left w:w="40" w:type="dxa"/>
              <w:bottom w:w="40" w:type="dxa"/>
              <w:right w:w="40" w:type="dxa"/>
            </w:tcMar>
            <w:vAlign w:val="bottom"/>
          </w:tcPr>
          <w:p w:rsidR="00395BFB" w:rsidRDefault="00280084">
            <w:pPr>
              <w:spacing w:line="276" w:lineRule="auto"/>
              <w:jc w:val="right"/>
              <w:rPr>
                <w:b/>
                <w:bCs/>
                <w:color w:val="FFFFFF"/>
                <w:sz w:val="20"/>
                <w:szCs w:val="20"/>
              </w:rPr>
            </w:pPr>
            <w:r>
              <w:rPr>
                <w:b/>
                <w:bCs/>
                <w:color w:val="FFFFFF"/>
                <w:sz w:val="20"/>
                <w:szCs w:val="20"/>
              </w:rPr>
              <w:t>Total score for the proposal</w:t>
            </w:r>
          </w:p>
        </w:tc>
        <w:tc>
          <w:tcPr>
            <w:tcW w:w="1109" w:type="dxa"/>
            <w:tcBorders>
              <w:top w:val="nil"/>
              <w:left w:val="nil"/>
              <w:bottom w:val="single" w:sz="7" w:space="0" w:color="CCCCCC"/>
              <w:right w:val="single" w:sz="7" w:space="0" w:color="CCCCCC"/>
            </w:tcBorders>
            <w:shd w:val="clear" w:color="auto" w:fill="000000"/>
            <w:tcMar>
              <w:top w:w="40" w:type="dxa"/>
              <w:left w:w="40" w:type="dxa"/>
              <w:bottom w:w="40" w:type="dxa"/>
              <w:right w:w="40" w:type="dxa"/>
            </w:tcMar>
            <w:vAlign w:val="bottom"/>
          </w:tcPr>
          <w:p w:rsidR="00395BFB" w:rsidRDefault="00280084">
            <w:pPr>
              <w:spacing w:line="276" w:lineRule="auto"/>
              <w:jc w:val="center"/>
              <w:rPr>
                <w:b/>
                <w:bCs/>
                <w:color w:val="FFFFFF"/>
                <w:sz w:val="20"/>
                <w:szCs w:val="20"/>
              </w:rPr>
            </w:pPr>
            <w:r>
              <w:rPr>
                <w:b/>
                <w:bCs/>
                <w:color w:val="FFFFFF"/>
                <w:sz w:val="20"/>
                <w:szCs w:val="20"/>
              </w:rPr>
              <w:t>100</w:t>
            </w:r>
          </w:p>
        </w:tc>
        <w:tc>
          <w:tcPr>
            <w:tcW w:w="1409" w:type="dxa"/>
            <w:tcBorders>
              <w:top w:val="nil"/>
              <w:left w:val="nil"/>
              <w:bottom w:val="single" w:sz="7" w:space="0" w:color="CCCCCC"/>
              <w:right w:val="single" w:sz="7" w:space="0" w:color="CCCCCC"/>
            </w:tcBorders>
            <w:shd w:val="clear" w:color="auto" w:fill="000000"/>
            <w:tcMar>
              <w:top w:w="40" w:type="dxa"/>
              <w:left w:w="40" w:type="dxa"/>
              <w:bottom w:w="40" w:type="dxa"/>
              <w:right w:w="40" w:type="dxa"/>
            </w:tcMar>
            <w:vAlign w:val="bottom"/>
          </w:tcPr>
          <w:p w:rsidR="00395BFB" w:rsidRDefault="00280084">
            <w:pPr>
              <w:spacing w:line="276" w:lineRule="auto"/>
              <w:rPr>
                <w:color w:val="FFFFFF"/>
                <w:sz w:val="20"/>
                <w:szCs w:val="20"/>
              </w:rPr>
            </w:pPr>
            <w:r>
              <w:rPr>
                <w:color w:val="FFFFFF"/>
                <w:sz w:val="20"/>
                <w:szCs w:val="20"/>
              </w:rPr>
              <w:t xml:space="preserve"> </w:t>
            </w:r>
          </w:p>
        </w:tc>
      </w:tr>
      <w:tr w:rsidR="00395BFB">
        <w:trPr>
          <w:trHeight w:val="330"/>
        </w:trPr>
        <w:tc>
          <w:tcPr>
            <w:tcW w:w="9024" w:type="dxa"/>
            <w:gridSpan w:val="4"/>
            <w:tcBorders>
              <w:top w:val="nil"/>
              <w:left w:val="single" w:sz="7" w:space="0" w:color="000000"/>
              <w:bottom w:val="single" w:sz="7" w:space="0" w:color="000000"/>
              <w:right w:val="single" w:sz="7" w:space="0" w:color="000000"/>
            </w:tcBorders>
            <w:shd w:val="clear" w:color="auto" w:fill="CCCCCC"/>
            <w:tcMar>
              <w:top w:w="40" w:type="dxa"/>
              <w:left w:w="40" w:type="dxa"/>
              <w:bottom w:w="40" w:type="dxa"/>
              <w:right w:w="40" w:type="dxa"/>
            </w:tcMar>
            <w:vAlign w:val="bottom"/>
          </w:tcPr>
          <w:p w:rsidR="00395BFB" w:rsidRDefault="00280084">
            <w:pPr>
              <w:spacing w:line="276" w:lineRule="auto"/>
              <w:rPr>
                <w:b/>
                <w:bCs/>
                <w:sz w:val="20"/>
                <w:szCs w:val="20"/>
              </w:rPr>
            </w:pPr>
            <w:r>
              <w:rPr>
                <w:b/>
                <w:bCs/>
                <w:sz w:val="20"/>
                <w:szCs w:val="20"/>
              </w:rPr>
              <w:t>Additional Documents</w:t>
            </w:r>
          </w:p>
        </w:tc>
      </w:tr>
      <w:tr w:rsidR="00395BFB">
        <w:trPr>
          <w:trHeight w:val="2175"/>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6" w:lineRule="auto"/>
              <w:jc w:val="right"/>
              <w:rPr>
                <w:sz w:val="20"/>
                <w:szCs w:val="20"/>
              </w:rPr>
            </w:pPr>
            <w:r>
              <w:rPr>
                <w:sz w:val="20"/>
                <w:szCs w:val="20"/>
              </w:rPr>
              <w:t>8</w:t>
            </w:r>
          </w:p>
        </w:tc>
        <w:tc>
          <w:tcPr>
            <w:tcW w:w="5892"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both"/>
              <w:rPr>
                <w:sz w:val="20"/>
                <w:szCs w:val="20"/>
                <w:highlight w:val="white"/>
              </w:rPr>
            </w:pPr>
            <w:r>
              <w:rPr>
                <w:sz w:val="20"/>
                <w:szCs w:val="20"/>
                <w:highlight w:val="white"/>
              </w:rPr>
              <w:t>If applicable, please also include:</w:t>
            </w:r>
          </w:p>
          <w:p w:rsidR="00395BFB" w:rsidRDefault="00280084">
            <w:pPr>
              <w:spacing w:line="276" w:lineRule="auto"/>
              <w:ind w:left="1440"/>
              <w:jc w:val="both"/>
              <w:rPr>
                <w:sz w:val="20"/>
                <w:szCs w:val="20"/>
                <w:highlight w:val="white"/>
              </w:rPr>
            </w:pPr>
            <w:sdt>
              <w:sdtPr>
                <w:tag w:val="goog_rdk_58"/>
                <w:id w:val="-1413219920"/>
              </w:sdtPr>
              <w:sdtEndPr/>
              <w:sdtContent>
                <w:r>
                  <w:rPr>
                    <w:rFonts w:ascii="Arial Unicode MS" w:eastAsia="Arial Unicode MS" w:hAnsi="Arial Unicode MS" w:cs="Arial Unicode MS"/>
                    <w:sz w:val="20"/>
                    <w:szCs w:val="20"/>
                    <w:highlight w:val="white"/>
                  </w:rPr>
                  <w:t>○</w:t>
                </w:r>
              </w:sdtContent>
            </w:sdt>
            <w:r>
              <w:rPr>
                <w:rFonts w:ascii="Times New Roman" w:eastAsia="Times New Roman" w:hAnsi="Times New Roman" w:cs="Times New Roman"/>
                <w:sz w:val="14"/>
                <w:szCs w:val="14"/>
                <w:highlight w:val="white"/>
              </w:rPr>
              <w:t xml:space="preserve">       </w:t>
            </w:r>
            <w:r>
              <w:rPr>
                <w:sz w:val="20"/>
                <w:szCs w:val="20"/>
                <w:highlight w:val="white"/>
              </w:rPr>
              <w:t>Organization and consultant profile (including CV)</w:t>
            </w:r>
          </w:p>
          <w:p w:rsidR="00395BFB" w:rsidRDefault="00280084">
            <w:pPr>
              <w:spacing w:line="276" w:lineRule="auto"/>
              <w:ind w:left="1440"/>
              <w:jc w:val="both"/>
              <w:rPr>
                <w:sz w:val="20"/>
                <w:szCs w:val="20"/>
                <w:highlight w:val="white"/>
              </w:rPr>
            </w:pPr>
            <w:sdt>
              <w:sdtPr>
                <w:tag w:val="goog_rdk_59"/>
                <w:id w:val="178985739"/>
              </w:sdtPr>
              <w:sdtEndPr/>
              <w:sdtContent>
                <w:r>
                  <w:rPr>
                    <w:rFonts w:ascii="Arial Unicode MS" w:eastAsia="Arial Unicode MS" w:hAnsi="Arial Unicode MS" w:cs="Arial Unicode MS"/>
                    <w:sz w:val="20"/>
                    <w:szCs w:val="20"/>
                    <w:highlight w:val="white"/>
                  </w:rPr>
                  <w:t>○</w:t>
                </w:r>
              </w:sdtContent>
            </w:sdt>
            <w:r>
              <w:rPr>
                <w:rFonts w:ascii="Times New Roman" w:eastAsia="Times New Roman" w:hAnsi="Times New Roman" w:cs="Times New Roman"/>
                <w:sz w:val="14"/>
                <w:szCs w:val="14"/>
                <w:highlight w:val="white"/>
              </w:rPr>
              <w:t xml:space="preserve">       </w:t>
            </w:r>
            <w:r>
              <w:rPr>
                <w:sz w:val="20"/>
                <w:szCs w:val="20"/>
                <w:highlight w:val="white"/>
              </w:rPr>
              <w:t>BIN (Business Identification Number) Certificate</w:t>
            </w:r>
          </w:p>
          <w:p w:rsidR="00395BFB" w:rsidRDefault="00280084">
            <w:pPr>
              <w:spacing w:line="276" w:lineRule="auto"/>
              <w:ind w:left="1440"/>
              <w:jc w:val="both"/>
              <w:rPr>
                <w:sz w:val="20"/>
                <w:szCs w:val="20"/>
                <w:highlight w:val="white"/>
              </w:rPr>
            </w:pPr>
            <w:sdt>
              <w:sdtPr>
                <w:tag w:val="goog_rdk_60"/>
                <w:id w:val="-701915398"/>
              </w:sdtPr>
              <w:sdtEndPr/>
              <w:sdtContent>
                <w:r>
                  <w:rPr>
                    <w:rFonts w:ascii="Arial Unicode MS" w:eastAsia="Arial Unicode MS" w:hAnsi="Arial Unicode MS" w:cs="Arial Unicode MS"/>
                    <w:sz w:val="20"/>
                    <w:szCs w:val="20"/>
                    <w:highlight w:val="white"/>
                  </w:rPr>
                  <w:t>○</w:t>
                </w:r>
              </w:sdtContent>
            </w:sdt>
            <w:r>
              <w:rPr>
                <w:rFonts w:ascii="Times New Roman" w:eastAsia="Times New Roman" w:hAnsi="Times New Roman" w:cs="Times New Roman"/>
                <w:sz w:val="14"/>
                <w:szCs w:val="14"/>
                <w:highlight w:val="white"/>
              </w:rPr>
              <w:t xml:space="preserve">       </w:t>
            </w:r>
            <w:r>
              <w:rPr>
                <w:sz w:val="20"/>
                <w:szCs w:val="20"/>
                <w:highlight w:val="white"/>
              </w:rPr>
              <w:t>TIN (Taxpayer Identification Number) Certificate</w:t>
            </w:r>
          </w:p>
          <w:p w:rsidR="00395BFB" w:rsidRDefault="00280084">
            <w:pPr>
              <w:spacing w:line="276" w:lineRule="auto"/>
              <w:ind w:left="1440"/>
              <w:jc w:val="both"/>
              <w:rPr>
                <w:sz w:val="20"/>
                <w:szCs w:val="20"/>
                <w:highlight w:val="white"/>
              </w:rPr>
            </w:pPr>
            <w:sdt>
              <w:sdtPr>
                <w:tag w:val="goog_rdk_61"/>
                <w:id w:val="-1551433287"/>
              </w:sdtPr>
              <w:sdtEndPr/>
              <w:sdtContent>
                <w:r>
                  <w:rPr>
                    <w:rFonts w:ascii="Arial Unicode MS" w:eastAsia="Arial Unicode MS" w:hAnsi="Arial Unicode MS" w:cs="Arial Unicode MS"/>
                    <w:sz w:val="20"/>
                    <w:szCs w:val="20"/>
                    <w:highlight w:val="white"/>
                  </w:rPr>
                  <w:t>○</w:t>
                </w:r>
              </w:sdtContent>
            </w:sdt>
            <w:r>
              <w:rPr>
                <w:rFonts w:ascii="Times New Roman" w:eastAsia="Times New Roman" w:hAnsi="Times New Roman" w:cs="Times New Roman"/>
                <w:sz w:val="14"/>
                <w:szCs w:val="14"/>
                <w:highlight w:val="white"/>
              </w:rPr>
              <w:t xml:space="preserve">       </w:t>
            </w:r>
            <w:r>
              <w:rPr>
                <w:sz w:val="20"/>
                <w:szCs w:val="20"/>
                <w:highlight w:val="white"/>
              </w:rPr>
              <w:t>Tax return certificate</w:t>
            </w:r>
          </w:p>
          <w:p w:rsidR="00395BFB" w:rsidRDefault="00280084">
            <w:pPr>
              <w:spacing w:line="276" w:lineRule="auto"/>
              <w:ind w:left="1440"/>
              <w:jc w:val="both"/>
              <w:rPr>
                <w:sz w:val="20"/>
                <w:szCs w:val="20"/>
                <w:highlight w:val="white"/>
              </w:rPr>
            </w:pPr>
            <w:sdt>
              <w:sdtPr>
                <w:tag w:val="goog_rdk_62"/>
                <w:id w:val="-1296536759"/>
              </w:sdtPr>
              <w:sdtEndPr/>
              <w:sdtContent>
                <w:r>
                  <w:rPr>
                    <w:rFonts w:ascii="Arial Unicode MS" w:eastAsia="Arial Unicode MS" w:hAnsi="Arial Unicode MS" w:cs="Arial Unicode MS"/>
                    <w:sz w:val="20"/>
                    <w:szCs w:val="20"/>
                    <w:highlight w:val="white"/>
                  </w:rPr>
                  <w:t>○</w:t>
                </w:r>
              </w:sdtContent>
            </w:sdt>
            <w:r>
              <w:rPr>
                <w:rFonts w:ascii="Times New Roman" w:eastAsia="Times New Roman" w:hAnsi="Times New Roman" w:cs="Times New Roman"/>
                <w:sz w:val="14"/>
                <w:szCs w:val="14"/>
                <w:highlight w:val="white"/>
              </w:rPr>
              <w:t xml:space="preserve">       </w:t>
            </w:r>
            <w:r>
              <w:rPr>
                <w:sz w:val="20"/>
                <w:szCs w:val="20"/>
                <w:highlight w:val="white"/>
              </w:rPr>
              <w:t>Trade license</w:t>
            </w:r>
          </w:p>
          <w:p w:rsidR="00395BFB" w:rsidRDefault="00280084">
            <w:pPr>
              <w:spacing w:line="276" w:lineRule="auto"/>
              <w:ind w:left="1440"/>
              <w:jc w:val="both"/>
              <w:rPr>
                <w:sz w:val="20"/>
                <w:szCs w:val="20"/>
                <w:highlight w:val="white"/>
              </w:rPr>
            </w:pPr>
            <w:sdt>
              <w:sdtPr>
                <w:tag w:val="goog_rdk_63"/>
                <w:id w:val="-928295050"/>
              </w:sdtPr>
              <w:sdtEndPr/>
              <w:sdtContent>
                <w:r>
                  <w:rPr>
                    <w:rFonts w:ascii="Arial Unicode MS" w:eastAsia="Arial Unicode MS" w:hAnsi="Arial Unicode MS" w:cs="Arial Unicode MS"/>
                    <w:sz w:val="20"/>
                    <w:szCs w:val="20"/>
                    <w:highlight w:val="white"/>
                  </w:rPr>
                  <w:t>○</w:t>
                </w:r>
              </w:sdtContent>
            </w:sdt>
            <w:r>
              <w:rPr>
                <w:rFonts w:ascii="Times New Roman" w:eastAsia="Times New Roman" w:hAnsi="Times New Roman" w:cs="Times New Roman"/>
                <w:sz w:val="14"/>
                <w:szCs w:val="14"/>
                <w:highlight w:val="white"/>
              </w:rPr>
              <w:t xml:space="preserve">       </w:t>
            </w:r>
            <w:r>
              <w:rPr>
                <w:sz w:val="20"/>
                <w:szCs w:val="20"/>
                <w:highlight w:val="white"/>
              </w:rPr>
              <w:t>Bank account information</w:t>
            </w:r>
          </w:p>
          <w:p w:rsidR="00395BFB" w:rsidRDefault="00280084">
            <w:pPr>
              <w:spacing w:line="276" w:lineRule="auto"/>
              <w:ind w:left="1440"/>
              <w:jc w:val="both"/>
              <w:rPr>
                <w:sz w:val="20"/>
                <w:szCs w:val="20"/>
                <w:highlight w:val="white"/>
              </w:rPr>
            </w:pPr>
            <w:sdt>
              <w:sdtPr>
                <w:tag w:val="goog_rdk_64"/>
                <w:id w:val="-1443216834"/>
              </w:sdtPr>
              <w:sdtEndPr/>
              <w:sdtContent>
                <w:r>
                  <w:rPr>
                    <w:rFonts w:ascii="Arial Unicode MS" w:eastAsia="Arial Unicode MS" w:hAnsi="Arial Unicode MS" w:cs="Arial Unicode MS"/>
                    <w:sz w:val="20"/>
                    <w:szCs w:val="20"/>
                    <w:highlight w:val="white"/>
                  </w:rPr>
                  <w:t>○</w:t>
                </w:r>
              </w:sdtContent>
            </w:sdt>
            <w:r>
              <w:rPr>
                <w:rFonts w:ascii="Times New Roman" w:eastAsia="Times New Roman" w:hAnsi="Times New Roman" w:cs="Times New Roman"/>
                <w:sz w:val="14"/>
                <w:szCs w:val="14"/>
                <w:highlight w:val="white"/>
              </w:rPr>
              <w:t xml:space="preserve">       </w:t>
            </w:r>
            <w:r>
              <w:rPr>
                <w:sz w:val="20"/>
                <w:szCs w:val="20"/>
                <w:highlight w:val="white"/>
              </w:rPr>
              <w:t>Technical and financial proposal</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As require</w:t>
            </w:r>
            <w:r>
              <w:rPr>
                <w:sz w:val="20"/>
                <w:szCs w:val="20"/>
              </w:rPr>
              <w:t>d</w:t>
            </w:r>
          </w:p>
        </w:tc>
      </w:tr>
      <w:tr w:rsidR="00395BFB">
        <w:trPr>
          <w:trHeight w:val="330"/>
        </w:trPr>
        <w:tc>
          <w:tcPr>
            <w:tcW w:w="9024" w:type="dxa"/>
            <w:gridSpan w:val="4"/>
            <w:tcBorders>
              <w:top w:val="nil"/>
              <w:left w:val="single" w:sz="7" w:space="0" w:color="000000"/>
              <w:bottom w:val="single" w:sz="7" w:space="0" w:color="000000"/>
              <w:right w:val="single" w:sz="7" w:space="0" w:color="000000"/>
            </w:tcBorders>
            <w:shd w:val="clear" w:color="auto" w:fill="CCCCCC"/>
            <w:tcMar>
              <w:top w:w="40" w:type="dxa"/>
              <w:left w:w="40" w:type="dxa"/>
              <w:bottom w:w="40" w:type="dxa"/>
              <w:right w:w="40" w:type="dxa"/>
            </w:tcMar>
            <w:vAlign w:val="bottom"/>
          </w:tcPr>
          <w:p w:rsidR="00395BFB" w:rsidRDefault="00280084">
            <w:pPr>
              <w:spacing w:line="276" w:lineRule="auto"/>
              <w:rPr>
                <w:b/>
                <w:bCs/>
                <w:sz w:val="20"/>
                <w:szCs w:val="20"/>
              </w:rPr>
            </w:pPr>
            <w:r>
              <w:rPr>
                <w:b/>
                <w:bCs/>
                <w:sz w:val="20"/>
                <w:szCs w:val="20"/>
              </w:rPr>
              <w:t>Annex</w:t>
            </w:r>
          </w:p>
        </w:tc>
      </w:tr>
      <w:tr w:rsidR="00395BFB">
        <w:trPr>
          <w:trHeight w:val="585"/>
        </w:trPr>
        <w:tc>
          <w:tcPr>
            <w:tcW w:w="614" w:type="dxa"/>
            <w:tcBorders>
              <w:top w:val="nil"/>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395BFB" w:rsidRDefault="00280084">
            <w:pPr>
              <w:spacing w:line="271" w:lineRule="auto"/>
              <w:rPr>
                <w:sz w:val="20"/>
                <w:szCs w:val="20"/>
              </w:rPr>
            </w:pPr>
            <w:r>
              <w:rPr>
                <w:sz w:val="20"/>
                <w:szCs w:val="20"/>
              </w:rPr>
              <w:t>9</w:t>
            </w:r>
          </w:p>
        </w:tc>
        <w:tc>
          <w:tcPr>
            <w:tcW w:w="5892"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1" w:lineRule="auto"/>
              <w:rPr>
                <w:sz w:val="20"/>
                <w:szCs w:val="20"/>
              </w:rPr>
            </w:pPr>
            <w:r>
              <w:rPr>
                <w:sz w:val="20"/>
                <w:szCs w:val="20"/>
              </w:rPr>
              <w:t>Annexes may be included for further clarification. However, for evaluation, only the main part of the proposal will be taken.</w:t>
            </w:r>
          </w:p>
        </w:tc>
        <w:tc>
          <w:tcPr>
            <w:tcW w:w="11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6" w:lineRule="auto"/>
              <w:jc w:val="center"/>
              <w:rPr>
                <w:sz w:val="20"/>
                <w:szCs w:val="20"/>
              </w:rPr>
            </w:pPr>
            <w:r>
              <w:rPr>
                <w:sz w:val="20"/>
                <w:szCs w:val="20"/>
              </w:rPr>
              <w:t>--</w:t>
            </w:r>
          </w:p>
        </w:tc>
        <w:tc>
          <w:tcPr>
            <w:tcW w:w="1409" w:type="dxa"/>
            <w:tcBorders>
              <w:top w:val="nil"/>
              <w:left w:val="nil"/>
              <w:bottom w:val="single" w:sz="7" w:space="0" w:color="000000"/>
              <w:right w:val="single" w:sz="7" w:space="0" w:color="000000"/>
            </w:tcBorders>
            <w:shd w:val="clear" w:color="auto" w:fill="auto"/>
            <w:tcMar>
              <w:top w:w="40" w:type="dxa"/>
              <w:left w:w="40" w:type="dxa"/>
              <w:bottom w:w="40" w:type="dxa"/>
              <w:right w:w="40" w:type="dxa"/>
            </w:tcMar>
            <w:vAlign w:val="bottom"/>
          </w:tcPr>
          <w:p w:rsidR="00395BFB" w:rsidRDefault="00280084">
            <w:pPr>
              <w:spacing w:line="271" w:lineRule="auto"/>
              <w:jc w:val="center"/>
              <w:rPr>
                <w:sz w:val="20"/>
                <w:szCs w:val="20"/>
              </w:rPr>
            </w:pPr>
            <w:r>
              <w:rPr>
                <w:sz w:val="20"/>
                <w:szCs w:val="20"/>
              </w:rPr>
              <w:t>As desired</w:t>
            </w:r>
          </w:p>
        </w:tc>
      </w:tr>
    </w:tbl>
    <w:p w:rsidR="00395BFB" w:rsidRDefault="00395BFB">
      <w:pPr>
        <w:spacing w:line="276" w:lineRule="auto"/>
        <w:rPr>
          <w:sz w:val="20"/>
          <w:szCs w:val="20"/>
        </w:rPr>
      </w:pPr>
    </w:p>
    <w:p w:rsidR="00395BFB" w:rsidRDefault="00395BFB">
      <w:pPr>
        <w:spacing w:line="276" w:lineRule="auto"/>
        <w:rPr>
          <w:sz w:val="20"/>
          <w:szCs w:val="20"/>
        </w:rPr>
      </w:pPr>
    </w:p>
    <w:p w:rsidR="00395BFB" w:rsidRDefault="00280084">
      <w:pPr>
        <w:widowControl w:val="0"/>
        <w:tabs>
          <w:tab w:val="left" w:pos="2694"/>
        </w:tabs>
        <w:spacing w:after="200" w:line="276" w:lineRule="auto"/>
        <w:jc w:val="both"/>
        <w:rPr>
          <w:sz w:val="20"/>
          <w:szCs w:val="20"/>
        </w:rPr>
      </w:pPr>
      <w:r>
        <w:rPr>
          <w:sz w:val="20"/>
          <w:szCs w:val="20"/>
        </w:rPr>
        <w:t xml:space="preserve">Interested firms are requested to submit their Technical and Financial Proposal to </w:t>
      </w:r>
      <w:hyperlink r:id="rId9">
        <w:r>
          <w:rPr>
            <w:b/>
            <w:bCs/>
            <w:color w:val="1155CC"/>
            <w:sz w:val="20"/>
            <w:szCs w:val="20"/>
            <w:u w:val="single"/>
          </w:rPr>
          <w:t>bangladesh.procurement@ideglobal.org</w:t>
        </w:r>
      </w:hyperlink>
      <w:r>
        <w:rPr>
          <w:b/>
          <w:bCs/>
          <w:sz w:val="20"/>
          <w:szCs w:val="20"/>
        </w:rPr>
        <w:t xml:space="preserve"> .</w:t>
      </w:r>
      <w:r>
        <w:rPr>
          <w:sz w:val="20"/>
          <w:szCs w:val="20"/>
        </w:rPr>
        <w:t xml:space="preserve"> Please write “</w:t>
      </w:r>
      <w:r>
        <w:rPr>
          <w:b/>
          <w:bCs/>
          <w:sz w:val="20"/>
          <w:szCs w:val="20"/>
        </w:rPr>
        <w:t>Proposal</w:t>
      </w:r>
      <w:r>
        <w:rPr>
          <w:sz w:val="20"/>
          <w:szCs w:val="20"/>
        </w:rPr>
        <w:t xml:space="preserve"> </w:t>
      </w:r>
      <w:r>
        <w:rPr>
          <w:b/>
          <w:bCs/>
          <w:sz w:val="20"/>
          <w:szCs w:val="20"/>
        </w:rPr>
        <w:t>for TLTN</w:t>
      </w:r>
      <w:r>
        <w:rPr>
          <w:b/>
          <w:bCs/>
          <w:sz w:val="20"/>
          <w:szCs w:val="20"/>
        </w:rPr>
        <w:t xml:space="preserve"> </w:t>
      </w:r>
      <w:r>
        <w:rPr>
          <w:b/>
          <w:bCs/>
          <w:sz w:val="20"/>
          <w:szCs w:val="20"/>
        </w:rPr>
        <w:t>Intermediate Outcome and Thematic Learning Assessment</w:t>
      </w:r>
      <w:r>
        <w:rPr>
          <w:b/>
          <w:bCs/>
          <w:sz w:val="20"/>
          <w:szCs w:val="20"/>
        </w:rPr>
        <w:t xml:space="preserve"> Consultancy”</w:t>
      </w:r>
      <w:r>
        <w:rPr>
          <w:sz w:val="20"/>
          <w:szCs w:val="20"/>
        </w:rPr>
        <w:t xml:space="preserve"> in the subject line. The proposals should be submitted by </w:t>
      </w:r>
      <w:r>
        <w:rPr>
          <w:b/>
          <w:bCs/>
          <w:sz w:val="20"/>
          <w:szCs w:val="20"/>
        </w:rPr>
        <w:t>April 25th, 2026, 11:59 PM Bangladesh time</w:t>
      </w:r>
      <w:r>
        <w:rPr>
          <w:sz w:val="20"/>
          <w:szCs w:val="20"/>
        </w:rPr>
        <w:t>. We are only able to consider electronic submissions. Only shortlisted firms will be contacted and invited for a technical discussion.</w:t>
      </w:r>
    </w:p>
    <w:p w:rsidR="00395BFB" w:rsidRDefault="00280084">
      <w:pPr>
        <w:widowControl w:val="0"/>
        <w:spacing w:after="120" w:line="276" w:lineRule="auto"/>
        <w:jc w:val="both"/>
        <w:rPr>
          <w:b/>
          <w:bCs/>
          <w:sz w:val="20"/>
          <w:szCs w:val="20"/>
          <w:highlight w:val="white"/>
        </w:rPr>
      </w:pPr>
      <w:r>
        <w:rPr>
          <w:b/>
          <w:bCs/>
          <w:sz w:val="20"/>
          <w:szCs w:val="20"/>
          <w:highlight w:val="white"/>
        </w:rPr>
        <w:t xml:space="preserve">Annex 1: </w:t>
      </w:r>
      <w:hyperlink r:id="rId10">
        <w:r>
          <w:rPr>
            <w:b/>
            <w:bCs/>
            <w:color w:val="1155CC"/>
            <w:sz w:val="20"/>
            <w:szCs w:val="20"/>
            <w:highlight w:val="white"/>
            <w:u w:val="single"/>
          </w:rPr>
          <w:t>Pre-Bid Clarification Questions and Answers</w:t>
        </w:r>
      </w:hyperlink>
    </w:p>
    <w:p w:rsidR="00395BFB" w:rsidRDefault="00280084">
      <w:pPr>
        <w:widowControl w:val="0"/>
        <w:spacing w:after="120" w:line="276" w:lineRule="auto"/>
        <w:jc w:val="both"/>
        <w:rPr>
          <w:b/>
          <w:bCs/>
          <w:sz w:val="20"/>
          <w:szCs w:val="20"/>
          <w:highlight w:val="white"/>
        </w:rPr>
      </w:pPr>
      <w:r>
        <w:rPr>
          <w:b/>
          <w:bCs/>
          <w:sz w:val="20"/>
          <w:szCs w:val="20"/>
          <w:highlight w:val="white"/>
        </w:rPr>
        <w:t>Annex 2: Th</w:t>
      </w:r>
      <w:r>
        <w:rPr>
          <w:b/>
          <w:bCs/>
          <w:sz w:val="20"/>
          <w:szCs w:val="20"/>
          <w:highlight w:val="white"/>
        </w:rPr>
        <w:t>e Content of the financial proposal (example)</w:t>
      </w:r>
    </w:p>
    <w:tbl>
      <w:tblPr>
        <w:tblStyle w:val="afe"/>
        <w:tblW w:w="9030" w:type="dxa"/>
        <w:tblBorders>
          <w:top w:val="nil"/>
          <w:left w:val="nil"/>
          <w:bottom w:val="nil"/>
          <w:right w:val="nil"/>
          <w:insideH w:val="nil"/>
          <w:insideV w:val="nil"/>
        </w:tblBorders>
        <w:tblLayout w:type="fixed"/>
        <w:tblLook w:val="0600" w:firstRow="0" w:lastRow="0" w:firstColumn="0" w:lastColumn="0" w:noHBand="1" w:noVBand="1"/>
      </w:tblPr>
      <w:tblGrid>
        <w:gridCol w:w="656"/>
        <w:gridCol w:w="2049"/>
        <w:gridCol w:w="1265"/>
        <w:gridCol w:w="1265"/>
        <w:gridCol w:w="1265"/>
        <w:gridCol w:w="1265"/>
        <w:gridCol w:w="1265"/>
      </w:tblGrid>
      <w:tr w:rsidR="00395BFB">
        <w:trPr>
          <w:trHeight w:val="380"/>
        </w:trPr>
        <w:tc>
          <w:tcPr>
            <w:tcW w:w="9025" w:type="dxa"/>
            <w:gridSpan w:val="7"/>
            <w:tcBorders>
              <w:top w:val="single" w:sz="6" w:space="0" w:color="000000"/>
              <w:left w:val="single" w:sz="6" w:space="0" w:color="000000"/>
              <w:bottom w:val="single" w:sz="6" w:space="0" w:color="000000"/>
              <w:right w:val="single" w:sz="6" w:space="0" w:color="000000"/>
            </w:tcBorders>
            <w:shd w:val="clear" w:color="auto" w:fill="EA4D39"/>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color w:val="FFFFFF"/>
                <w:sz w:val="20"/>
                <w:szCs w:val="20"/>
              </w:rPr>
            </w:pPr>
            <w:r>
              <w:rPr>
                <w:rFonts w:ascii="Roboto" w:eastAsia="Roboto" w:hAnsi="Roboto" w:cs="Roboto"/>
                <w:b/>
                <w:bCs/>
                <w:color w:val="FFFFFF"/>
                <w:sz w:val="20"/>
                <w:szCs w:val="20"/>
              </w:rPr>
              <w:lastRenderedPageBreak/>
              <w:t>Financial Prop</w:t>
            </w:r>
            <w:r>
              <w:rPr>
                <w:rFonts w:ascii="Roboto" w:eastAsia="Roboto" w:hAnsi="Roboto" w:cs="Roboto"/>
                <w:b/>
                <w:bCs/>
                <w:color w:val="FFFFFF"/>
                <w:sz w:val="20"/>
                <w:szCs w:val="20"/>
              </w:rPr>
              <w:t>osal</w:t>
            </w:r>
          </w:p>
        </w:tc>
      </w:tr>
      <w:tr w:rsidR="00395BFB">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280084">
            <w:pPr>
              <w:widowControl w:val="0"/>
              <w:spacing w:line="276" w:lineRule="auto"/>
              <w:jc w:val="right"/>
              <w:rPr>
                <w:rFonts w:ascii="Roboto" w:eastAsia="Roboto" w:hAnsi="Roboto" w:cs="Roboto"/>
                <w:b/>
                <w:bCs/>
                <w:sz w:val="20"/>
                <w:szCs w:val="20"/>
              </w:rPr>
            </w:pPr>
            <w:r>
              <w:rPr>
                <w:rFonts w:ascii="Roboto" w:eastAsia="Roboto" w:hAnsi="Roboto" w:cs="Roboto"/>
                <w:b/>
                <w:bCs/>
                <w:sz w:val="20"/>
                <w:szCs w:val="20"/>
              </w:rPr>
              <w:t>Name of the Organization</w:t>
            </w:r>
          </w:p>
        </w:tc>
        <w:tc>
          <w:tcPr>
            <w:tcW w:w="5056" w:type="dxa"/>
            <w:gridSpan w:val="4"/>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Date:</w:t>
            </w:r>
          </w:p>
        </w:tc>
      </w:tr>
      <w:tr w:rsidR="00395BFB">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280084">
            <w:pPr>
              <w:widowControl w:val="0"/>
              <w:spacing w:line="276" w:lineRule="auto"/>
              <w:jc w:val="right"/>
              <w:rPr>
                <w:rFonts w:ascii="Roboto" w:eastAsia="Roboto" w:hAnsi="Roboto" w:cs="Roboto"/>
                <w:b/>
                <w:bCs/>
                <w:sz w:val="20"/>
                <w:szCs w:val="20"/>
              </w:rPr>
            </w:pPr>
            <w:r>
              <w:rPr>
                <w:rFonts w:ascii="Roboto" w:eastAsia="Roboto" w:hAnsi="Roboto" w:cs="Roboto"/>
                <w:b/>
                <w:bCs/>
                <w:sz w:val="20"/>
                <w:szCs w:val="20"/>
              </w:rPr>
              <w:t>Address</w:t>
            </w:r>
          </w:p>
        </w:tc>
        <w:tc>
          <w:tcPr>
            <w:tcW w:w="632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540"/>
        </w:trPr>
        <w:tc>
          <w:tcPr>
            <w:tcW w:w="657" w:type="dxa"/>
            <w:tcBorders>
              <w:top w:val="single" w:sz="6" w:space="0" w:color="CCCCCC"/>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sz w:val="20"/>
                <w:szCs w:val="20"/>
              </w:rPr>
            </w:pPr>
            <w:r>
              <w:rPr>
                <w:rFonts w:ascii="Roboto" w:eastAsia="Roboto" w:hAnsi="Roboto" w:cs="Roboto"/>
                <w:b/>
                <w:bCs/>
                <w:sz w:val="20"/>
                <w:szCs w:val="20"/>
              </w:rPr>
              <w:t>SL</w:t>
            </w:r>
          </w:p>
        </w:tc>
        <w:tc>
          <w:tcPr>
            <w:tcW w:w="2048"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sz w:val="20"/>
                <w:szCs w:val="20"/>
              </w:rPr>
            </w:pPr>
            <w:r>
              <w:rPr>
                <w:rFonts w:ascii="Roboto" w:eastAsia="Roboto" w:hAnsi="Roboto" w:cs="Roboto"/>
                <w:b/>
                <w:bCs/>
                <w:sz w:val="20"/>
                <w:szCs w:val="20"/>
              </w:rPr>
              <w:t>Items</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sz w:val="20"/>
                <w:szCs w:val="20"/>
              </w:rPr>
            </w:pPr>
            <w:r>
              <w:rPr>
                <w:rFonts w:ascii="Roboto" w:eastAsia="Roboto" w:hAnsi="Roboto" w:cs="Roboto"/>
                <w:b/>
                <w:bCs/>
                <w:sz w:val="20"/>
                <w:szCs w:val="20"/>
              </w:rPr>
              <w:t>No. of Persons</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sz w:val="20"/>
                <w:szCs w:val="20"/>
              </w:rPr>
            </w:pPr>
            <w:proofErr w:type="gramStart"/>
            <w:r>
              <w:rPr>
                <w:rFonts w:ascii="Roboto" w:eastAsia="Roboto" w:hAnsi="Roboto" w:cs="Roboto"/>
                <w:b/>
                <w:bCs/>
                <w:sz w:val="20"/>
                <w:szCs w:val="20"/>
              </w:rPr>
              <w:t>Unit(</w:t>
            </w:r>
            <w:proofErr w:type="gramEnd"/>
            <w:r>
              <w:rPr>
                <w:rFonts w:ascii="Roboto" w:eastAsia="Roboto" w:hAnsi="Roboto" w:cs="Roboto"/>
                <w:b/>
                <w:bCs/>
                <w:sz w:val="20"/>
                <w:szCs w:val="20"/>
              </w:rPr>
              <w:t>Day)</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sz w:val="20"/>
                <w:szCs w:val="20"/>
              </w:rPr>
            </w:pPr>
            <w:r>
              <w:rPr>
                <w:rFonts w:ascii="Roboto" w:eastAsia="Roboto" w:hAnsi="Roboto" w:cs="Roboto"/>
                <w:b/>
                <w:bCs/>
                <w:sz w:val="20"/>
                <w:szCs w:val="20"/>
              </w:rPr>
              <w:t>BDT per day or unit</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sz w:val="20"/>
                <w:szCs w:val="20"/>
              </w:rPr>
            </w:pPr>
            <w:r>
              <w:rPr>
                <w:rFonts w:ascii="Roboto" w:eastAsia="Roboto" w:hAnsi="Roboto" w:cs="Roboto"/>
                <w:b/>
                <w:bCs/>
                <w:sz w:val="20"/>
                <w:szCs w:val="20"/>
              </w:rPr>
              <w:t>Total Amount (BDT)</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395BFB" w:rsidRDefault="00280084">
            <w:pPr>
              <w:widowControl w:val="0"/>
              <w:spacing w:line="276" w:lineRule="auto"/>
              <w:jc w:val="center"/>
              <w:rPr>
                <w:rFonts w:ascii="Roboto" w:eastAsia="Roboto" w:hAnsi="Roboto" w:cs="Roboto"/>
                <w:b/>
                <w:bCs/>
                <w:sz w:val="20"/>
                <w:szCs w:val="20"/>
              </w:rPr>
            </w:pPr>
            <w:r>
              <w:rPr>
                <w:rFonts w:ascii="Roboto" w:eastAsia="Roboto" w:hAnsi="Roboto" w:cs="Roboto"/>
                <w:b/>
                <w:bCs/>
                <w:sz w:val="20"/>
                <w:szCs w:val="20"/>
              </w:rPr>
              <w:t>Remarks</w:t>
            </w: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A</w:t>
            </w:r>
          </w:p>
        </w:tc>
        <w:tc>
          <w:tcPr>
            <w:tcW w:w="2048"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Remuneration</w:t>
            </w: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A1</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Team Leader</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A2</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Study Co-</w:t>
            </w:r>
            <w:proofErr w:type="spellStart"/>
            <w:r>
              <w:rPr>
                <w:rFonts w:ascii="Roboto" w:eastAsia="Roboto" w:hAnsi="Roboto" w:cs="Roboto"/>
                <w:sz w:val="20"/>
                <w:szCs w:val="20"/>
              </w:rPr>
              <w:t>ordinator</w:t>
            </w:r>
            <w:proofErr w:type="spellEnd"/>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A3</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Qualitative data analyst</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A4</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Quantitative data analyst</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A5</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Supervisor</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Arial" w:eastAsia="Arial" w:hAnsi="Arial" w:cs="Arial"/>
                <w:sz w:val="20"/>
                <w:szCs w:val="20"/>
              </w:rPr>
            </w:pPr>
            <w:r>
              <w:rPr>
                <w:sz w:val="20"/>
                <w:szCs w:val="20"/>
              </w:rPr>
              <w:t>A6</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Arial" w:eastAsia="Arial" w:hAnsi="Arial" w:cs="Arial"/>
                <w:sz w:val="20"/>
                <w:szCs w:val="20"/>
              </w:rPr>
            </w:pPr>
            <w:r>
              <w:rPr>
                <w:sz w:val="20"/>
                <w:szCs w:val="20"/>
              </w:rPr>
              <w:t>Enumerator Quantitative</w:t>
            </w: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r>
      <w:tr w:rsidR="00395BFB">
        <w:trPr>
          <w:trHeight w:val="24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Arial" w:eastAsia="Arial" w:hAnsi="Arial" w:cs="Arial"/>
                <w:sz w:val="20"/>
                <w:szCs w:val="20"/>
              </w:rPr>
            </w:pPr>
            <w:r>
              <w:rPr>
                <w:sz w:val="20"/>
                <w:szCs w:val="20"/>
              </w:rPr>
              <w:t>A7</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Arial" w:eastAsia="Arial" w:hAnsi="Arial" w:cs="Arial"/>
                <w:sz w:val="20"/>
                <w:szCs w:val="20"/>
              </w:rPr>
            </w:pPr>
            <w:r>
              <w:rPr>
                <w:sz w:val="20"/>
                <w:szCs w:val="20"/>
              </w:rPr>
              <w:t>Enumerator Qualitative</w:t>
            </w: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Arial" w:eastAsia="Arial" w:hAnsi="Arial" w:cs="Arial"/>
                <w:sz w:val="20"/>
                <w:szCs w:val="20"/>
              </w:rPr>
            </w:pPr>
            <w:r>
              <w:rPr>
                <w:sz w:val="20"/>
                <w:szCs w:val="20"/>
              </w:rPr>
              <w:t>A8</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r>
      <w:tr w:rsidR="00395BFB">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Sub Total</w:t>
            </w:r>
          </w:p>
        </w:tc>
        <w:tc>
          <w:tcPr>
            <w:tcW w:w="1264"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B</w:t>
            </w:r>
          </w:p>
        </w:tc>
        <w:tc>
          <w:tcPr>
            <w:tcW w:w="2048" w:type="dxa"/>
            <w:tcBorders>
              <w:top w:val="single" w:sz="6" w:space="0" w:color="000000"/>
              <w:left w:val="single" w:sz="6" w:space="0" w:color="000000"/>
              <w:bottom w:val="single" w:sz="6" w:space="0" w:color="000000"/>
              <w:right w:val="single" w:sz="6" w:space="0" w:color="CCCCCC"/>
            </w:tcBorders>
            <w:shd w:val="clear" w:color="auto" w:fill="B7B7B7"/>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Travel and Accommodation</w:t>
            </w: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395BFB" w:rsidRDefault="00395BFB">
            <w:pPr>
              <w:widowControl w:val="0"/>
              <w:rPr>
                <w:rFonts w:ascii="Roboto" w:eastAsia="Roboto" w:hAnsi="Roboto" w:cs="Roboto"/>
                <w:sz w:val="20"/>
                <w:szCs w:val="20"/>
              </w:rPr>
            </w:pP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395BFB" w:rsidRDefault="00395BFB">
            <w:pPr>
              <w:widowControl w:val="0"/>
              <w:rPr>
                <w:rFonts w:ascii="Roboto" w:eastAsia="Roboto" w:hAnsi="Roboto" w:cs="Roboto"/>
                <w:sz w:val="20"/>
                <w:szCs w:val="20"/>
              </w:rPr>
            </w:pP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395BFB" w:rsidRDefault="00395BFB">
            <w:pPr>
              <w:widowControl w:val="0"/>
              <w:rPr>
                <w:rFonts w:ascii="Roboto" w:eastAsia="Roboto" w:hAnsi="Roboto" w:cs="Roboto"/>
                <w:sz w:val="20"/>
                <w:szCs w:val="20"/>
              </w:rPr>
            </w:pP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395BFB" w:rsidRDefault="00395BFB">
            <w:pPr>
              <w:widowControl w:val="0"/>
              <w:rPr>
                <w:rFonts w:ascii="Roboto" w:eastAsia="Roboto" w:hAnsi="Roboto" w:cs="Roboto"/>
                <w:sz w:val="20"/>
                <w:szCs w:val="20"/>
              </w:rPr>
            </w:pPr>
          </w:p>
        </w:tc>
        <w:tc>
          <w:tcPr>
            <w:tcW w:w="1264" w:type="dxa"/>
            <w:tcBorders>
              <w:top w:val="single" w:sz="6" w:space="0" w:color="000000"/>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395BFB" w:rsidRDefault="00395BFB">
            <w:pPr>
              <w:widowControl w:val="0"/>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B1</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proofErr w:type="gramStart"/>
            <w:r>
              <w:rPr>
                <w:rFonts w:ascii="Roboto" w:eastAsia="Roboto" w:hAnsi="Roboto" w:cs="Roboto"/>
                <w:sz w:val="20"/>
                <w:szCs w:val="20"/>
              </w:rPr>
              <w:t>Two way</w:t>
            </w:r>
            <w:proofErr w:type="gramEnd"/>
            <w:r>
              <w:rPr>
                <w:rFonts w:ascii="Roboto" w:eastAsia="Roboto" w:hAnsi="Roboto" w:cs="Roboto"/>
                <w:sz w:val="20"/>
                <w:szCs w:val="20"/>
              </w:rPr>
              <w:t xml:space="preserve"> travel</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B2</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Accommodation</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B3</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B4</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B5</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Arial" w:eastAsia="Arial" w:hAnsi="Arial" w:cs="Arial"/>
                <w:sz w:val="20"/>
                <w:szCs w:val="20"/>
              </w:rPr>
            </w:pPr>
            <w:r>
              <w:rPr>
                <w:sz w:val="20"/>
                <w:szCs w:val="20"/>
              </w:rPr>
              <w:t>B6</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Arial" w:eastAsia="Arial" w:hAnsi="Arial" w:cs="Arial"/>
                <w:sz w:val="20"/>
                <w:szCs w:val="20"/>
              </w:rPr>
            </w:pPr>
          </w:p>
        </w:tc>
      </w:tr>
      <w:tr w:rsidR="00395BFB">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Sub Total</w:t>
            </w:r>
          </w:p>
        </w:tc>
        <w:tc>
          <w:tcPr>
            <w:tcW w:w="1264"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C</w:t>
            </w:r>
          </w:p>
        </w:tc>
        <w:tc>
          <w:tcPr>
            <w:tcW w:w="8368" w:type="dxa"/>
            <w:gridSpan w:val="6"/>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Support Services</w:t>
            </w: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C1</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 xml:space="preserve">Training venue and food </w:t>
            </w:r>
            <w:proofErr w:type="gramStart"/>
            <w:r>
              <w:rPr>
                <w:rFonts w:ascii="Roboto" w:eastAsia="Roboto" w:hAnsi="Roboto" w:cs="Roboto"/>
                <w:sz w:val="20"/>
                <w:szCs w:val="20"/>
              </w:rPr>
              <w:t>for  participants</w:t>
            </w:r>
            <w:proofErr w:type="gramEnd"/>
            <w:r>
              <w:rPr>
                <w:rFonts w:ascii="Roboto" w:eastAsia="Roboto" w:hAnsi="Roboto" w:cs="Roboto"/>
                <w:sz w:val="20"/>
                <w:szCs w:val="20"/>
              </w:rPr>
              <w:t xml:space="preserve"> </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C2</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Training food</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C3</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Print and stationary</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C4</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Data entry</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C5</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jc w:val="center"/>
              <w:rPr>
                <w:rFonts w:ascii="Arial" w:eastAsia="Arial" w:hAnsi="Arial" w:cs="Arial"/>
                <w:sz w:val="20"/>
                <w:szCs w:val="20"/>
              </w:rPr>
            </w:pPr>
            <w:r>
              <w:rPr>
                <w:sz w:val="20"/>
                <w:szCs w:val="20"/>
              </w:rPr>
              <w:t>C6</w:t>
            </w:r>
          </w:p>
        </w:tc>
        <w:tc>
          <w:tcPr>
            <w:tcW w:w="2048" w:type="dxa"/>
            <w:tcBorders>
              <w:bottom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bottom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bottom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95BFB" w:rsidRDefault="00395BFB">
            <w:pPr>
              <w:widowControl w:val="0"/>
              <w:spacing w:line="276" w:lineRule="auto"/>
              <w:rPr>
                <w:rFonts w:ascii="Arial" w:eastAsia="Arial" w:hAnsi="Arial" w:cs="Arial"/>
                <w:sz w:val="20"/>
                <w:szCs w:val="20"/>
              </w:rPr>
            </w:pPr>
          </w:p>
        </w:tc>
      </w:tr>
      <w:tr w:rsidR="00395BFB">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Sub Total</w:t>
            </w:r>
          </w:p>
        </w:tc>
        <w:tc>
          <w:tcPr>
            <w:tcW w:w="1264"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280084">
            <w:pPr>
              <w:widowControl w:val="0"/>
              <w:spacing w:line="276" w:lineRule="auto"/>
              <w:rPr>
                <w:rFonts w:ascii="Roboto" w:eastAsia="Roboto" w:hAnsi="Roboto" w:cs="Roboto"/>
                <w:sz w:val="20"/>
                <w:szCs w:val="20"/>
              </w:rPr>
            </w:pPr>
            <w:r>
              <w:rPr>
                <w:rFonts w:ascii="Roboto" w:eastAsia="Roboto" w:hAnsi="Roboto" w:cs="Roboto"/>
                <w:sz w:val="20"/>
                <w:szCs w:val="20"/>
              </w:rPr>
              <w:t>VAT (15%)</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b/>
                <w:bCs/>
                <w:color w:val="0000FF"/>
                <w:sz w:val="20"/>
                <w:szCs w:val="20"/>
              </w:rPr>
            </w:pPr>
            <w:r>
              <w:rPr>
                <w:rFonts w:ascii="Roboto" w:eastAsia="Roboto" w:hAnsi="Roboto" w:cs="Roboto"/>
                <w:b/>
                <w:bCs/>
                <w:color w:val="0000FF"/>
                <w:sz w:val="20"/>
                <w:szCs w:val="20"/>
              </w:rPr>
              <w:t>Grand Total (Including VAT and Tax)</w:t>
            </w:r>
          </w:p>
        </w:tc>
        <w:tc>
          <w:tcPr>
            <w:tcW w:w="1264"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r w:rsidR="00395BFB">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395BFB" w:rsidRDefault="00280084">
            <w:pPr>
              <w:widowControl w:val="0"/>
              <w:spacing w:line="276" w:lineRule="auto"/>
              <w:jc w:val="center"/>
              <w:rPr>
                <w:rFonts w:ascii="Roboto" w:eastAsia="Roboto" w:hAnsi="Roboto" w:cs="Roboto"/>
                <w:sz w:val="20"/>
                <w:szCs w:val="20"/>
              </w:rPr>
            </w:pPr>
            <w:r>
              <w:rPr>
                <w:rFonts w:ascii="Roboto" w:eastAsia="Roboto" w:hAnsi="Roboto" w:cs="Roboto"/>
                <w:sz w:val="20"/>
                <w:szCs w:val="20"/>
              </w:rPr>
              <w:t>In Words</w:t>
            </w:r>
          </w:p>
        </w:tc>
        <w:tc>
          <w:tcPr>
            <w:tcW w:w="632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395BFB" w:rsidRDefault="00395BFB">
            <w:pPr>
              <w:widowControl w:val="0"/>
              <w:spacing w:line="276" w:lineRule="auto"/>
              <w:rPr>
                <w:rFonts w:ascii="Roboto" w:eastAsia="Roboto" w:hAnsi="Roboto" w:cs="Roboto"/>
                <w:sz w:val="20"/>
                <w:szCs w:val="20"/>
              </w:rPr>
            </w:pPr>
          </w:p>
        </w:tc>
      </w:tr>
    </w:tbl>
    <w:p w:rsidR="00395BFB" w:rsidRDefault="00395BFB">
      <w:pPr>
        <w:widowControl w:val="0"/>
        <w:spacing w:after="120" w:line="276" w:lineRule="auto"/>
        <w:jc w:val="both"/>
        <w:rPr>
          <w:sz w:val="20"/>
          <w:szCs w:val="20"/>
        </w:rPr>
      </w:pPr>
    </w:p>
    <w:p w:rsidR="00395BFB" w:rsidRDefault="00395BFB">
      <w:pPr>
        <w:widowControl w:val="0"/>
        <w:spacing w:before="200" w:line="276" w:lineRule="auto"/>
        <w:rPr>
          <w:sz w:val="20"/>
          <w:szCs w:val="20"/>
          <w:highlight w:val="white"/>
        </w:rPr>
      </w:pPr>
    </w:p>
    <w:sectPr w:rsidR="00395BFB">
      <w:headerReference w:type="default" r:id="rId11"/>
      <w:footerReference w:type="even" r:id="rId12"/>
      <w:footerReference w:type="default" r:id="rId13"/>
      <w:headerReference w:type="first" r:id="rId14"/>
      <w:footerReference w:type="first" r:id="rId15"/>
      <w:pgSz w:w="11906" w:h="16838"/>
      <w:pgMar w:top="1440" w:right="1440" w:bottom="1440"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0084" w:rsidRDefault="00280084">
      <w:r>
        <w:separator/>
      </w:r>
    </w:p>
  </w:endnote>
  <w:endnote w:type="continuationSeparator" w:id="0">
    <w:p w:rsidR="00280084" w:rsidRDefault="002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4498E43E-943E-4D86-8828-1BA2F89177C1}"/>
    <w:embedBold r:id="rId2" w:fontKey="{0EECC818-2D56-469E-9C61-5EF9CEC85200}"/>
    <w:embedItalic r:id="rId3" w:fontKey="{75C0C713-11ED-440D-B859-B27CB06AB5F6}"/>
    <w:embedBoldItalic r:id="rId4" w:fontKey="{B382944D-94E8-407C-B0D6-CA4FB9B9B750}"/>
  </w:font>
  <w:font w:name="Cambria">
    <w:panose1 w:val="02040503050406030204"/>
    <w:charset w:val="00"/>
    <w:family w:val="roman"/>
    <w:pitch w:val="variable"/>
    <w:sig w:usb0="E00006FF" w:usb1="420024FF" w:usb2="02000000" w:usb3="00000000" w:csb0="0000019F" w:csb1="00000000"/>
    <w:embedRegular r:id="rId5" w:fontKey="{FB5B23F4-671B-44AB-994B-908A8B7F718A}"/>
  </w:font>
  <w:font w:name="Georgia">
    <w:panose1 w:val="02040502050405020303"/>
    <w:charset w:val="00"/>
    <w:family w:val="roman"/>
    <w:pitch w:val="variable"/>
    <w:sig w:usb0="00000287" w:usb1="00000000" w:usb2="00000000" w:usb3="00000000" w:csb0="0000009F" w:csb1="00000000"/>
    <w:embedItalic r:id="rId6" w:fontKey="{0C37A7D7-C523-4582-A0DE-CC67054BC8DA}"/>
  </w:font>
  <w:font w:name="Calibri">
    <w:panose1 w:val="020F0502020204030204"/>
    <w:charset w:val="00"/>
    <w:family w:val="swiss"/>
    <w:pitch w:val="variable"/>
    <w:sig w:usb0="E4002EFF" w:usb1="C200247B" w:usb2="00000009" w:usb3="00000000" w:csb0="000001FF" w:csb1="00000000"/>
    <w:embedRegular r:id="rId7" w:fontKey="{FFAA556B-C45E-48E0-9B9F-4918D6C84898}"/>
    <w:embedBold r:id="rId8" w:fontKey="{96373F8E-257D-46D3-868F-EDB9DD8BE66B}"/>
  </w:font>
  <w:font w:name="Oxygen">
    <w:charset w:val="00"/>
    <w:family w:val="auto"/>
    <w:pitch w:val="default"/>
    <w:embedRegular r:id="rId9" w:fontKey="{537EE804-0FA1-469F-923F-B03D777C4635}"/>
  </w:font>
  <w:font w:name="Arial Unicode MS">
    <w:altName w:val="Arial"/>
    <w:panose1 w:val="020B0604020202020204"/>
    <w:charset w:val="00"/>
    <w:family w:val="auto"/>
    <w:pitch w:val="default"/>
  </w:font>
  <w:font w:name="Roboto Slab">
    <w:charset w:val="00"/>
    <w:family w:val="auto"/>
    <w:pitch w:val="default"/>
    <w:embedBold r:id="rId10" w:fontKey="{26B14EFF-6CBB-41B5-B1BF-AB568FF664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FB" w:rsidRDefault="0028008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395BFB" w:rsidRDefault="00395BFB">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FB" w:rsidRDefault="00395BFB">
    <w:pPr>
      <w:widowControl w:val="0"/>
      <w:jc w:val="both"/>
      <w:rPr>
        <w:rFonts w:ascii="Calibri" w:eastAsia="Calibri" w:hAnsi="Calibri" w:cs="Calibri"/>
        <w:sz w:val="22"/>
        <w:szCs w:val="22"/>
      </w:rPr>
    </w:pPr>
  </w:p>
  <w:tbl>
    <w:tblPr>
      <w:tblStyle w:val="aff"/>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gridCol w:w="855"/>
    </w:tblGrid>
    <w:tr w:rsidR="00395BFB">
      <w:trPr>
        <w:trHeight w:val="480"/>
      </w:trPr>
      <w:tc>
        <w:tcPr>
          <w:tcW w:w="868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395BFB" w:rsidRDefault="00280084">
          <w:pPr>
            <w:widowControl w:val="0"/>
            <w:tabs>
              <w:tab w:val="center" w:pos="4680"/>
              <w:tab w:val="right" w:pos="9360"/>
            </w:tabs>
            <w:ind w:right="360"/>
            <w:jc w:val="center"/>
            <w:rPr>
              <w:rFonts w:ascii="Calibri" w:eastAsia="Calibri" w:hAnsi="Calibri" w:cs="Calibri"/>
              <w:sz w:val="18"/>
              <w:szCs w:val="18"/>
            </w:rPr>
          </w:pPr>
          <w:r>
            <w:rPr>
              <w:rFonts w:ascii="Roboto" w:eastAsia="Roboto" w:hAnsi="Roboto" w:cs="Roboto"/>
              <w:color w:val="FF5F4A"/>
              <w:sz w:val="18"/>
              <w:szCs w:val="18"/>
            </w:rPr>
            <w:t xml:space="preserve">               </w:t>
          </w:r>
          <w:proofErr w:type="spellStart"/>
          <w:r>
            <w:rPr>
              <w:rFonts w:ascii="Roboto" w:eastAsia="Roboto" w:hAnsi="Roboto" w:cs="Roboto"/>
              <w:color w:val="FF5F4A"/>
              <w:sz w:val="18"/>
              <w:szCs w:val="18"/>
            </w:rPr>
            <w:t>iDE</w:t>
          </w:r>
          <w:proofErr w:type="spellEnd"/>
          <w:r>
            <w:rPr>
              <w:rFonts w:ascii="Roboto" w:eastAsia="Roboto" w:hAnsi="Roboto" w:cs="Roboto"/>
              <w:color w:val="50505F"/>
              <w:sz w:val="18"/>
              <w:szCs w:val="18"/>
            </w:rPr>
            <w:t xml:space="preserve"> Bangladesh | </w:t>
          </w:r>
          <w:hyperlink r:id="rId1">
            <w:r>
              <w:rPr>
                <w:rFonts w:ascii="Roboto" w:eastAsia="Roboto" w:hAnsi="Roboto" w:cs="Roboto"/>
                <w:color w:val="50505F"/>
                <w:sz w:val="18"/>
                <w:szCs w:val="18"/>
                <w:u w:val="single"/>
              </w:rPr>
              <w:t>www.ideglobal.org/country/bangladesh</w:t>
            </w:r>
          </w:hyperlink>
        </w:p>
      </w:tc>
      <w:tc>
        <w:tcPr>
          <w:tcW w:w="85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395BFB" w:rsidRDefault="00280084">
          <w:pPr>
            <w:widowControl w:val="0"/>
            <w:tabs>
              <w:tab w:val="center" w:pos="4680"/>
              <w:tab w:val="right" w:pos="9360"/>
            </w:tabs>
            <w:ind w:right="360"/>
            <w:jc w:val="right"/>
            <w:rPr>
              <w:rFonts w:ascii="Roboto" w:eastAsia="Roboto" w:hAnsi="Roboto" w:cs="Roboto"/>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sidR="004E2280">
            <w:rPr>
              <w:rFonts w:ascii="Calibri" w:eastAsia="Calibri" w:hAnsi="Calibri" w:cs="Calibri"/>
              <w:sz w:val="18"/>
              <w:szCs w:val="18"/>
            </w:rPr>
            <w:fldChar w:fldCharType="separate"/>
          </w:r>
          <w:r w:rsidR="004E2280">
            <w:rPr>
              <w:rFonts w:ascii="Calibri" w:eastAsia="Calibri" w:hAnsi="Calibri" w:cs="Calibri"/>
              <w:noProof/>
              <w:sz w:val="18"/>
              <w:szCs w:val="18"/>
            </w:rPr>
            <w:t>1</w:t>
          </w:r>
          <w:r>
            <w:rPr>
              <w:rFonts w:ascii="Calibri" w:eastAsia="Calibri" w:hAnsi="Calibri" w:cs="Calibri"/>
              <w:sz w:val="18"/>
              <w:szCs w:val="18"/>
            </w:rPr>
            <w:fldChar w:fldCharType="end"/>
          </w:r>
        </w:p>
        <w:p w:rsidR="00395BFB" w:rsidRDefault="00395BFB">
          <w:pPr>
            <w:widowControl w:val="0"/>
            <w:tabs>
              <w:tab w:val="center" w:pos="4680"/>
              <w:tab w:val="right" w:pos="9360"/>
            </w:tabs>
            <w:ind w:right="360"/>
            <w:jc w:val="center"/>
            <w:rPr>
              <w:rFonts w:ascii="Calibri" w:eastAsia="Calibri" w:hAnsi="Calibri" w:cs="Calibri"/>
            </w:rPr>
          </w:pPr>
        </w:p>
      </w:tc>
    </w:tr>
  </w:tbl>
  <w:p w:rsidR="00395BFB" w:rsidRDefault="00395BFB">
    <w:pPr>
      <w:widowControl w:val="0"/>
      <w:tabs>
        <w:tab w:val="center" w:pos="4680"/>
        <w:tab w:val="right" w:pos="9360"/>
      </w:tabs>
      <w:ind w:right="36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FB" w:rsidRDefault="00395BFB">
    <w:pPr>
      <w:widowControl w:val="0"/>
      <w:tabs>
        <w:tab w:val="center" w:pos="4680"/>
        <w:tab w:val="right" w:pos="936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0084" w:rsidRDefault="00280084">
      <w:r>
        <w:separator/>
      </w:r>
    </w:p>
  </w:footnote>
  <w:footnote w:type="continuationSeparator" w:id="0">
    <w:p w:rsidR="00280084" w:rsidRDefault="00280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FB" w:rsidRDefault="00280084">
    <w:pPr>
      <w:tabs>
        <w:tab w:val="right" w:pos="9000"/>
      </w:tabs>
      <w:spacing w:line="276" w:lineRule="auto"/>
      <w:ind w:left="720"/>
      <w:rPr>
        <w:rFonts w:ascii="Arial" w:eastAsia="Arial" w:hAnsi="Arial" w:cs="Arial"/>
        <w:sz w:val="22"/>
        <w:szCs w:val="22"/>
      </w:rPr>
    </w:pPr>
    <w:r>
      <w:rPr>
        <w:rFonts w:ascii="Arial" w:eastAsia="Arial" w:hAnsi="Arial" w:cs="Arial"/>
        <w:sz w:val="22"/>
        <w:szCs w:val="22"/>
      </w:rPr>
      <w:t xml:space="preserve"> </w:t>
    </w:r>
  </w:p>
  <w:p w:rsidR="00395BFB" w:rsidRDefault="00395BFB">
    <w:pPr>
      <w:tabs>
        <w:tab w:val="right" w:pos="9000"/>
      </w:tabs>
      <w:spacing w:line="276" w:lineRule="auto"/>
      <w:rPr>
        <w:rFonts w:ascii="Roboto Slab" w:eastAsia="Roboto Slab" w:hAnsi="Roboto Slab" w:cs="Roboto Slab"/>
        <w:b/>
        <w:bCs/>
        <w:sz w:val="22"/>
        <w:szCs w:val="22"/>
      </w:rPr>
    </w:pPr>
  </w:p>
  <w:p w:rsidR="00395BFB" w:rsidRDefault="00280084">
    <w:pPr>
      <w:pStyle w:val="Title"/>
      <w:spacing w:before="0" w:after="0" w:line="276" w:lineRule="auto"/>
      <w:ind w:right="30"/>
      <w:jc w:val="right"/>
      <w:rPr>
        <w:rFonts w:ascii="Roboto Slab" w:eastAsia="Roboto Slab" w:hAnsi="Roboto Slab" w:cs="Roboto Slab"/>
        <w:color w:val="434343"/>
        <w:sz w:val="24"/>
        <w:szCs w:val="24"/>
      </w:rPr>
    </w:pPr>
    <w:bookmarkStart w:id="22" w:name="_heading=h.1t3h5sf" w:colFirst="0" w:colLast="0"/>
    <w:bookmarkEnd w:id="22"/>
    <w:r>
      <w:rPr>
        <w:rFonts w:ascii="Roboto Slab" w:eastAsia="Roboto Slab" w:hAnsi="Roboto Slab" w:cs="Roboto Slab"/>
        <w:color w:val="434343"/>
        <w:sz w:val="24"/>
        <w:szCs w:val="24"/>
      </w:rPr>
      <w:t>Outcome assessment For Transforming Lives Through Nutrition</w:t>
    </w:r>
  </w:p>
  <w:p w:rsidR="00395BFB" w:rsidRDefault="00280084">
    <w:pPr>
      <w:pStyle w:val="Title"/>
      <w:spacing w:before="0" w:after="0" w:line="276" w:lineRule="auto"/>
      <w:ind w:right="30"/>
      <w:jc w:val="right"/>
      <w:rPr>
        <w:rFonts w:ascii="Calibri" w:eastAsia="Calibri" w:hAnsi="Calibri" w:cs="Calibri"/>
        <w:color w:val="262626"/>
        <w:sz w:val="2"/>
        <w:szCs w:val="2"/>
      </w:rPr>
    </w:pPr>
    <w:bookmarkStart w:id="23" w:name="_heading=h.4d34og8" w:colFirst="0" w:colLast="0"/>
    <w:bookmarkEnd w:id="23"/>
    <w:r>
      <w:rPr>
        <w:rFonts w:ascii="Roboto Slab" w:eastAsia="Roboto Slab" w:hAnsi="Roboto Slab" w:cs="Roboto Slab"/>
        <w:color w:val="FF5F4A"/>
        <w:sz w:val="16"/>
        <w:szCs w:val="16"/>
      </w:rPr>
      <w:t>Terms</w:t>
    </w:r>
    <w:r>
      <w:rPr>
        <w:rFonts w:ascii="Roboto Slab" w:eastAsia="Roboto Slab" w:hAnsi="Roboto Slab" w:cs="Roboto Slab"/>
        <w:color w:val="FF5F4A"/>
        <w:sz w:val="18"/>
        <w:szCs w:val="18"/>
      </w:rPr>
      <w:t xml:space="preserve"> of Reference</w:t>
    </w:r>
    <w:r>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FB" w:rsidRDefault="00280084">
    <w:pPr>
      <w:tabs>
        <w:tab w:val="right" w:pos="9000"/>
      </w:tabs>
      <w:spacing w:line="276" w:lineRule="auto"/>
      <w:rPr>
        <w:rFonts w:ascii="Arial" w:eastAsia="Arial" w:hAnsi="Arial" w:cs="Arial"/>
        <w:sz w:val="22"/>
        <w:szCs w:val="22"/>
      </w:rPr>
    </w:pPr>
    <w:r>
      <w:rPr>
        <w:noProof/>
      </w:rPr>
      <w:drawing>
        <wp:anchor distT="0" distB="0" distL="0" distR="0" simplePos="0" relativeHeight="251658240" behindDoc="0" locked="0" layoutInCell="1" hidden="0" allowOverlap="1">
          <wp:simplePos x="0" y="0"/>
          <wp:positionH relativeFrom="column">
            <wp:posOffset>3562350</wp:posOffset>
          </wp:positionH>
          <wp:positionV relativeFrom="paragraph">
            <wp:posOffset>0</wp:posOffset>
          </wp:positionV>
          <wp:extent cx="2928938" cy="974133"/>
          <wp:effectExtent l="0" t="0" r="0" b="0"/>
          <wp:wrapTopAndBottom distT="0" dist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451" r="2451"/>
                  <a:stretch>
                    <a:fillRect/>
                  </a:stretch>
                </pic:blipFill>
                <pic:spPr>
                  <a:xfrm>
                    <a:off x="0" y="0"/>
                    <a:ext cx="2928938" cy="97413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6347"/>
    <w:multiLevelType w:val="multilevel"/>
    <w:tmpl w:val="D41CB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34075"/>
    <w:multiLevelType w:val="multilevel"/>
    <w:tmpl w:val="0E009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379AA"/>
    <w:multiLevelType w:val="multilevel"/>
    <w:tmpl w:val="7D9E8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911F17"/>
    <w:multiLevelType w:val="multilevel"/>
    <w:tmpl w:val="E19A8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D85DDC"/>
    <w:multiLevelType w:val="multilevel"/>
    <w:tmpl w:val="F9E44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C9747A4"/>
    <w:multiLevelType w:val="multilevel"/>
    <w:tmpl w:val="61AEE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9A33B9"/>
    <w:multiLevelType w:val="multilevel"/>
    <w:tmpl w:val="FC9EB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CC4DEC"/>
    <w:multiLevelType w:val="multilevel"/>
    <w:tmpl w:val="30C68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4E7DE1"/>
    <w:multiLevelType w:val="multilevel"/>
    <w:tmpl w:val="C3344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3F4407"/>
    <w:multiLevelType w:val="multilevel"/>
    <w:tmpl w:val="1304F38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0AC6FDF"/>
    <w:multiLevelType w:val="multilevel"/>
    <w:tmpl w:val="318AD8E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30452D"/>
    <w:multiLevelType w:val="multilevel"/>
    <w:tmpl w:val="35C4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523107"/>
    <w:multiLevelType w:val="multilevel"/>
    <w:tmpl w:val="25EE9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2529DE"/>
    <w:multiLevelType w:val="multilevel"/>
    <w:tmpl w:val="A5BA7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35014A"/>
    <w:multiLevelType w:val="multilevel"/>
    <w:tmpl w:val="430E04E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519132D"/>
    <w:multiLevelType w:val="multilevel"/>
    <w:tmpl w:val="CD1C2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C77298"/>
    <w:multiLevelType w:val="multilevel"/>
    <w:tmpl w:val="24006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7F3E88"/>
    <w:multiLevelType w:val="multilevel"/>
    <w:tmpl w:val="3C5E6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A585ADD"/>
    <w:multiLevelType w:val="multilevel"/>
    <w:tmpl w:val="10225704"/>
    <w:lvl w:ilvl="0">
      <w:start w:val="1"/>
      <w:numFmt w:val="lowerLetter"/>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7"/>
  </w:num>
  <w:num w:numId="3">
    <w:abstractNumId w:val="8"/>
  </w:num>
  <w:num w:numId="4">
    <w:abstractNumId w:val="3"/>
  </w:num>
  <w:num w:numId="5">
    <w:abstractNumId w:val="15"/>
  </w:num>
  <w:num w:numId="6">
    <w:abstractNumId w:val="6"/>
  </w:num>
  <w:num w:numId="7">
    <w:abstractNumId w:val="16"/>
  </w:num>
  <w:num w:numId="8">
    <w:abstractNumId w:val="0"/>
  </w:num>
  <w:num w:numId="9">
    <w:abstractNumId w:val="9"/>
  </w:num>
  <w:num w:numId="10">
    <w:abstractNumId w:val="12"/>
  </w:num>
  <w:num w:numId="11">
    <w:abstractNumId w:val="17"/>
  </w:num>
  <w:num w:numId="12">
    <w:abstractNumId w:val="14"/>
  </w:num>
  <w:num w:numId="13">
    <w:abstractNumId w:val="10"/>
  </w:num>
  <w:num w:numId="14">
    <w:abstractNumId w:val="4"/>
  </w:num>
  <w:num w:numId="15">
    <w:abstractNumId w:val="18"/>
  </w:num>
  <w:num w:numId="16">
    <w:abstractNumId w:val="11"/>
  </w:num>
  <w:num w:numId="17">
    <w:abstractNumId w:val="5"/>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BFB"/>
    <w:rsid w:val="00280084"/>
    <w:rsid w:val="00395BFB"/>
    <w:rsid w:val="004E2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3FDA3F-9A6D-4DA3-B49C-C9A8AA60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jc w:val="center"/>
      <w:outlineLvl w:val="3"/>
    </w:pPr>
    <w:rPr>
      <w:rFonts w:ascii="Arial" w:eastAsia="Arial" w:hAnsi="Arial" w:cs="Arial"/>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7">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8">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9">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a">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b">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c">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d">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4">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5">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6">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7">
    <w:basedOn w:val="TableNormal"/>
    <w:rPr>
      <w:rFonts w:ascii="Cambria" w:eastAsia="Cambria" w:hAnsi="Cambria" w:cs="Cambria"/>
      <w:sz w:val="22"/>
      <w:szCs w:val="22"/>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
    <w:basedOn w:val="TableNormal"/>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ocs.google.com/document/d/1lt7Cdte-yONZOTienO21im366GCcNbyv/edit?usp=sharing&amp;ouid=114544425895573343858&amp;rtpof=true&amp;sd=true" TargetMode="External"/><Relationship Id="rId4" Type="http://schemas.openxmlformats.org/officeDocument/2006/relationships/settings" Target="settings.xml"/><Relationship Id="rId9" Type="http://schemas.openxmlformats.org/officeDocument/2006/relationships/hyperlink" Target="mailto:bangladesh.procurement@ideglobal.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bRytXDKIvikUEuTrEdCHMreQ==">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8478</Words>
  <Characters>48330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2</cp:revision>
  <dcterms:created xsi:type="dcterms:W3CDTF">2026-04-22T04:27:00Z</dcterms:created>
  <dcterms:modified xsi:type="dcterms:W3CDTF">2026-04-22T04:27:00Z</dcterms:modified>
</cp:coreProperties>
</file>