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72" w:type="dxa"/>
          <w:left w:w="115" w:type="dxa"/>
          <w:bottom w:w="72" w:type="dxa"/>
          <w:right w:w="115" w:type="dxa"/>
        </w:tblCellMar>
        <w:tblLook w:val="04A0" w:firstRow="1" w:lastRow="0" w:firstColumn="1" w:lastColumn="0" w:noHBand="0" w:noVBand="1"/>
      </w:tblPr>
      <w:tblGrid>
        <w:gridCol w:w="4761"/>
        <w:gridCol w:w="4544"/>
      </w:tblGrid>
      <w:tr w:rsidR="00B27F6C" w:rsidRPr="00090673" w14:paraId="26022F8F" w14:textId="77777777" w:rsidTr="000F68C2">
        <w:trPr>
          <w:jc w:val="center"/>
        </w:trPr>
        <w:tc>
          <w:tcPr>
            <w:tcW w:w="9305" w:type="dxa"/>
            <w:gridSpan w:val="2"/>
            <w:shd w:val="clear" w:color="auto" w:fill="D9E2F3"/>
          </w:tcPr>
          <w:p w14:paraId="00651395" w14:textId="7112D736" w:rsidR="00F22208" w:rsidRPr="00F22208" w:rsidRDefault="00B27F6C" w:rsidP="00F22208">
            <w:pPr>
              <w:jc w:val="center"/>
              <w:rPr>
                <w:rFonts w:eastAsia="Calibri" w:cs="Arial"/>
                <w:b/>
                <w:bCs/>
                <w:sz w:val="24"/>
                <w:szCs w:val="24"/>
              </w:rPr>
            </w:pPr>
            <w:r w:rsidRPr="00090673">
              <w:rPr>
                <w:rFonts w:eastAsia="Calibri" w:cs="Arial"/>
                <w:b/>
                <w:bCs/>
                <w:sz w:val="24"/>
                <w:szCs w:val="24"/>
              </w:rPr>
              <w:t xml:space="preserve">Terms of Reference </w:t>
            </w:r>
            <w:r w:rsidR="00F22208" w:rsidRPr="00F22208">
              <w:rPr>
                <w:rFonts w:eastAsia="Calibri" w:cs="Arial"/>
                <w:b/>
                <w:bCs/>
                <w:sz w:val="24"/>
                <w:szCs w:val="24"/>
              </w:rPr>
              <w:t>for Urban Program Review, Gap Analysis, and Framework Development to Guide Pilot Design</w:t>
            </w:r>
          </w:p>
          <w:p w14:paraId="7B603A8A" w14:textId="40ACF187" w:rsidR="00E40FA8" w:rsidRPr="00090673" w:rsidRDefault="00E40FA8" w:rsidP="00E40FA8">
            <w:pPr>
              <w:jc w:val="center"/>
              <w:rPr>
                <w:rFonts w:eastAsia="Calibri" w:cs="Arial"/>
                <w:b/>
                <w:bCs/>
                <w:sz w:val="24"/>
                <w:szCs w:val="24"/>
              </w:rPr>
            </w:pPr>
          </w:p>
          <w:p w14:paraId="35B2C37C" w14:textId="03E86240" w:rsidR="00EB32B7" w:rsidRPr="00090673" w:rsidRDefault="00EB32B7" w:rsidP="00B27F6C">
            <w:pPr>
              <w:jc w:val="center"/>
              <w:rPr>
                <w:rFonts w:eastAsia="Calibri" w:cs="Arial"/>
                <w:b/>
                <w:bCs/>
              </w:rPr>
            </w:pPr>
            <w:r w:rsidRPr="00090673">
              <w:rPr>
                <w:rFonts w:eastAsia="Calibri" w:cs="Arial"/>
                <w:b/>
                <w:bCs/>
                <w:sz w:val="24"/>
                <w:szCs w:val="24"/>
              </w:rPr>
              <w:t>Habitat for Humanity</w:t>
            </w:r>
            <w:r w:rsidR="00F22208">
              <w:rPr>
                <w:rFonts w:eastAsia="Calibri" w:cs="Arial"/>
                <w:b/>
                <w:bCs/>
                <w:sz w:val="24"/>
                <w:szCs w:val="24"/>
              </w:rPr>
              <w:t xml:space="preserve"> International- Bangladesh </w:t>
            </w:r>
          </w:p>
        </w:tc>
      </w:tr>
      <w:tr w:rsidR="00C47C14" w:rsidRPr="00090673" w14:paraId="4215949C" w14:textId="77777777" w:rsidTr="00EE1649">
        <w:trPr>
          <w:jc w:val="center"/>
        </w:trPr>
        <w:tc>
          <w:tcPr>
            <w:tcW w:w="4599" w:type="dxa"/>
            <w:shd w:val="clear" w:color="auto" w:fill="D9E2F3"/>
          </w:tcPr>
          <w:p w14:paraId="3CE74DAD" w14:textId="7AE17626" w:rsidR="00137854" w:rsidRPr="00090673" w:rsidRDefault="00137854" w:rsidP="00EB01F3">
            <w:pPr>
              <w:rPr>
                <w:rFonts w:eastAsia="Calibri" w:cs="Arial"/>
                <w:b/>
                <w:bCs/>
                <w:color w:val="auto"/>
              </w:rPr>
            </w:pPr>
            <w:r w:rsidRPr="00090673">
              <w:rPr>
                <w:rFonts w:eastAsia="Calibri" w:cs="Arial"/>
                <w:b/>
                <w:bCs/>
                <w:color w:val="auto"/>
              </w:rPr>
              <w:t>Project</w:t>
            </w:r>
            <w:r w:rsidR="0096192A" w:rsidRPr="00090673">
              <w:rPr>
                <w:rFonts w:eastAsia="Calibri" w:cs="Arial"/>
                <w:b/>
                <w:bCs/>
                <w:color w:val="auto"/>
              </w:rPr>
              <w:t>/Program</w:t>
            </w:r>
            <w:r w:rsidRPr="00090673">
              <w:rPr>
                <w:rFonts w:eastAsia="Calibri" w:cs="Arial"/>
                <w:b/>
                <w:bCs/>
                <w:color w:val="auto"/>
              </w:rPr>
              <w:t xml:space="preserve"> Title</w:t>
            </w:r>
          </w:p>
        </w:tc>
        <w:tc>
          <w:tcPr>
            <w:tcW w:w="4706" w:type="dxa"/>
          </w:tcPr>
          <w:p w14:paraId="109BBFB1" w14:textId="7045F04D" w:rsidR="00137854" w:rsidRPr="00090673" w:rsidRDefault="00AA28A4" w:rsidP="00E532A7">
            <w:pPr>
              <w:jc w:val="both"/>
              <w:rPr>
                <w:rFonts w:eastAsia="Calibri" w:cs="Arial"/>
              </w:rPr>
            </w:pPr>
            <w:r w:rsidRPr="00090673">
              <w:rPr>
                <w:rFonts w:eastAsia="Calibri" w:cs="Arial"/>
              </w:rPr>
              <w:t>Community Driven Inclusive Urban Resilience in Informal Settlements</w:t>
            </w:r>
          </w:p>
        </w:tc>
      </w:tr>
      <w:tr w:rsidR="00C47C14" w:rsidRPr="00090673" w14:paraId="279B9D63" w14:textId="77777777" w:rsidTr="00EE1649">
        <w:trPr>
          <w:jc w:val="center"/>
        </w:trPr>
        <w:tc>
          <w:tcPr>
            <w:tcW w:w="4599" w:type="dxa"/>
            <w:shd w:val="clear" w:color="auto" w:fill="D9E2F3"/>
          </w:tcPr>
          <w:p w14:paraId="50F2FE10" w14:textId="3026BBAF" w:rsidR="00137854" w:rsidRPr="00090673" w:rsidRDefault="00137854" w:rsidP="00EB01F3">
            <w:pPr>
              <w:rPr>
                <w:rFonts w:eastAsia="Calibri" w:cs="Arial"/>
                <w:b/>
                <w:bCs/>
                <w:color w:val="auto"/>
              </w:rPr>
            </w:pPr>
            <w:r w:rsidRPr="00090673">
              <w:rPr>
                <w:rFonts w:eastAsia="Calibri" w:cs="Arial"/>
                <w:b/>
                <w:bCs/>
                <w:color w:val="auto"/>
              </w:rPr>
              <w:t xml:space="preserve">Type of </w:t>
            </w:r>
            <w:r w:rsidR="00704158" w:rsidRPr="00090673">
              <w:rPr>
                <w:rFonts w:eastAsia="Calibri" w:cs="Arial"/>
                <w:b/>
                <w:bCs/>
                <w:color w:val="auto"/>
              </w:rPr>
              <w:t>Study</w:t>
            </w:r>
            <w:r w:rsidR="00CE7042" w:rsidRPr="00090673">
              <w:rPr>
                <w:rFonts w:eastAsia="Calibri" w:cs="Arial"/>
                <w:b/>
                <w:bCs/>
                <w:color w:val="auto"/>
              </w:rPr>
              <w:t xml:space="preserve"> </w:t>
            </w:r>
          </w:p>
        </w:tc>
        <w:tc>
          <w:tcPr>
            <w:tcW w:w="4706" w:type="dxa"/>
          </w:tcPr>
          <w:p w14:paraId="15097A0A" w14:textId="7E80480B" w:rsidR="00434D70" w:rsidRPr="00090673" w:rsidRDefault="001F14D3" w:rsidP="00022F34">
            <w:pPr>
              <w:rPr>
                <w:rFonts w:cs="Arial"/>
                <w:szCs w:val="24"/>
              </w:rPr>
            </w:pPr>
            <w:r w:rsidRPr="00090673">
              <w:rPr>
                <w:rFonts w:cs="Arial"/>
                <w:szCs w:val="24"/>
              </w:rPr>
              <w:t>Impact Study</w:t>
            </w:r>
            <w:r w:rsidR="0059320A" w:rsidRPr="00090673">
              <w:rPr>
                <w:rFonts w:cs="Arial"/>
                <w:szCs w:val="24"/>
              </w:rPr>
              <w:t xml:space="preserve"> of current urban pro</w:t>
            </w:r>
            <w:r w:rsidR="00B23E9E" w:rsidRPr="00090673">
              <w:rPr>
                <w:rFonts w:cs="Arial"/>
                <w:szCs w:val="24"/>
              </w:rPr>
              <w:t xml:space="preserve">gram, identification of gaps and opportunities, and </w:t>
            </w:r>
            <w:r w:rsidR="00FD01BC" w:rsidRPr="00090673">
              <w:rPr>
                <w:rFonts w:cs="Arial"/>
                <w:szCs w:val="24"/>
              </w:rPr>
              <w:t>development of an expanded programming framework</w:t>
            </w:r>
          </w:p>
        </w:tc>
      </w:tr>
      <w:tr w:rsidR="00C47C14" w:rsidRPr="00090673" w14:paraId="4EDE36D8" w14:textId="77777777" w:rsidTr="00EE1649">
        <w:trPr>
          <w:jc w:val="center"/>
        </w:trPr>
        <w:tc>
          <w:tcPr>
            <w:tcW w:w="4599" w:type="dxa"/>
            <w:shd w:val="clear" w:color="auto" w:fill="D9E2F3"/>
          </w:tcPr>
          <w:p w14:paraId="17F1AAF2" w14:textId="77777777" w:rsidR="00137854" w:rsidRPr="00090673" w:rsidRDefault="00137854" w:rsidP="00EB01F3">
            <w:pPr>
              <w:rPr>
                <w:rFonts w:eastAsia="Calibri" w:cs="Arial"/>
                <w:b/>
                <w:bCs/>
                <w:color w:val="auto"/>
              </w:rPr>
            </w:pPr>
            <w:r w:rsidRPr="00090673">
              <w:rPr>
                <w:rFonts w:eastAsia="Calibri" w:cs="Arial"/>
                <w:b/>
                <w:bCs/>
                <w:color w:val="auto"/>
              </w:rPr>
              <w:t>HFH Country and Location</w:t>
            </w:r>
          </w:p>
        </w:tc>
        <w:tc>
          <w:tcPr>
            <w:tcW w:w="4706" w:type="dxa"/>
          </w:tcPr>
          <w:p w14:paraId="2D37C06F" w14:textId="77777777" w:rsidR="00137854" w:rsidRPr="00090673" w:rsidRDefault="007F1D3F" w:rsidP="00EB01F3">
            <w:pPr>
              <w:rPr>
                <w:rFonts w:eastAsia="Calibri" w:cs="Arial"/>
              </w:rPr>
            </w:pPr>
            <w:r w:rsidRPr="00090673">
              <w:rPr>
                <w:rFonts w:eastAsia="Calibri" w:cs="Arial"/>
              </w:rPr>
              <w:t>Habitat for Humanity International-Bangladesh</w:t>
            </w:r>
          </w:p>
        </w:tc>
      </w:tr>
      <w:tr w:rsidR="00C47C14" w:rsidRPr="00090673" w14:paraId="23F8FA07" w14:textId="77777777" w:rsidTr="00EE1649">
        <w:trPr>
          <w:jc w:val="center"/>
        </w:trPr>
        <w:tc>
          <w:tcPr>
            <w:tcW w:w="4599" w:type="dxa"/>
            <w:shd w:val="clear" w:color="auto" w:fill="D9E2F3"/>
          </w:tcPr>
          <w:p w14:paraId="3DEAD21D" w14:textId="77777777" w:rsidR="00137854" w:rsidRPr="00090673" w:rsidRDefault="00434D70" w:rsidP="00EB01F3">
            <w:pPr>
              <w:rPr>
                <w:rFonts w:eastAsia="Calibri" w:cs="Arial"/>
                <w:b/>
                <w:bCs/>
                <w:color w:val="auto"/>
              </w:rPr>
            </w:pPr>
            <w:r w:rsidRPr="00090673">
              <w:rPr>
                <w:rFonts w:eastAsia="Calibri" w:cs="Arial"/>
                <w:b/>
                <w:bCs/>
                <w:color w:val="auto"/>
              </w:rPr>
              <w:t>Study</w:t>
            </w:r>
            <w:r w:rsidR="00137854" w:rsidRPr="00090673">
              <w:rPr>
                <w:rFonts w:eastAsia="Calibri" w:cs="Arial"/>
                <w:b/>
                <w:bCs/>
                <w:color w:val="auto"/>
              </w:rPr>
              <w:t xml:space="preserve"> duration</w:t>
            </w:r>
          </w:p>
        </w:tc>
        <w:tc>
          <w:tcPr>
            <w:tcW w:w="4706" w:type="dxa"/>
          </w:tcPr>
          <w:p w14:paraId="748B6D9C" w14:textId="63B239D4" w:rsidR="00137854" w:rsidRPr="00090673" w:rsidRDefault="00FD01BC" w:rsidP="00D1590C">
            <w:pPr>
              <w:rPr>
                <w:rFonts w:eastAsia="Calibri" w:cs="Arial"/>
              </w:rPr>
            </w:pPr>
            <w:r w:rsidRPr="00090673">
              <w:rPr>
                <w:rFonts w:eastAsia="Calibri" w:cs="Arial"/>
              </w:rPr>
              <w:t xml:space="preserve">June 2026 to </w:t>
            </w:r>
            <w:r w:rsidR="004945FD">
              <w:rPr>
                <w:rFonts w:eastAsia="Calibri" w:cs="Arial"/>
              </w:rPr>
              <w:t>September</w:t>
            </w:r>
            <w:r w:rsidR="00B82548" w:rsidRPr="00090673">
              <w:rPr>
                <w:rFonts w:eastAsia="Calibri" w:cs="Arial"/>
              </w:rPr>
              <w:t xml:space="preserve"> 2026</w:t>
            </w:r>
          </w:p>
        </w:tc>
      </w:tr>
      <w:tr w:rsidR="00B27F6C" w:rsidRPr="00090673" w14:paraId="0F7AD167" w14:textId="77777777" w:rsidTr="000F68C2">
        <w:tblPrEx>
          <w:jc w:val="left"/>
          <w:tblCellMar>
            <w:top w:w="29" w:type="dxa"/>
            <w:bottom w:w="29" w:type="dxa"/>
          </w:tblCellMar>
        </w:tblPrEx>
        <w:trPr>
          <w:trHeight w:val="31"/>
        </w:trPr>
        <w:tc>
          <w:tcPr>
            <w:tcW w:w="9305" w:type="dxa"/>
            <w:gridSpan w:val="2"/>
            <w:shd w:val="clear" w:color="auto" w:fill="D9E2F3"/>
          </w:tcPr>
          <w:p w14:paraId="219C97DE" w14:textId="77777777" w:rsidR="00B27F6C" w:rsidRPr="00090673" w:rsidRDefault="00B27F6C" w:rsidP="00C5398A">
            <w:pPr>
              <w:numPr>
                <w:ilvl w:val="0"/>
                <w:numId w:val="1"/>
              </w:numPr>
              <w:ind w:left="720"/>
              <w:rPr>
                <w:rFonts w:eastAsia="Calibri" w:cs="Arial"/>
                <w:b/>
                <w:bCs/>
                <w:iCs/>
              </w:rPr>
            </w:pPr>
            <w:r w:rsidRPr="00090673">
              <w:rPr>
                <w:rFonts w:eastAsia="Calibri" w:cs="Arial"/>
                <w:b/>
                <w:bCs/>
                <w:iCs/>
              </w:rPr>
              <w:t>Background</w:t>
            </w:r>
          </w:p>
        </w:tc>
      </w:tr>
      <w:tr w:rsidR="00C47C14" w:rsidRPr="00090673" w14:paraId="6E1480D5" w14:textId="77777777" w:rsidTr="000F68C2">
        <w:tblPrEx>
          <w:jc w:val="left"/>
          <w:tblCellMar>
            <w:top w:w="29" w:type="dxa"/>
            <w:bottom w:w="29" w:type="dxa"/>
          </w:tblCellMar>
        </w:tblPrEx>
        <w:trPr>
          <w:trHeight w:val="926"/>
        </w:trPr>
        <w:tc>
          <w:tcPr>
            <w:tcW w:w="9305" w:type="dxa"/>
            <w:gridSpan w:val="2"/>
          </w:tcPr>
          <w:p w14:paraId="3B76DB80" w14:textId="6201B064" w:rsidR="002C0F93" w:rsidRPr="00090673" w:rsidRDefault="002C0F93" w:rsidP="001E5564">
            <w:pPr>
              <w:rPr>
                <w:rFonts w:eastAsia="Calibri" w:cs="Arial"/>
              </w:rPr>
            </w:pPr>
            <w:r w:rsidRPr="00090673">
              <w:rPr>
                <w:rFonts w:eastAsia="Calibri" w:cs="Arial"/>
              </w:rPr>
              <w:t>Bangladesh is experiencing rapid urbanization driven by rural-to-urban migration, climate-induced displacement, and population growth. Cities such as Dhaka and coastal urban areas including Satkhira and Khulna are facing increasing pressure to accommodate low-income populations living in informal settlements with inadequate housing, poor sanitation, insecure tenure, and limited access to basic services.</w:t>
            </w:r>
          </w:p>
          <w:p w14:paraId="0C2CF370" w14:textId="177FBC0E" w:rsidR="002C0F93" w:rsidRPr="00090673" w:rsidRDefault="002C0F93" w:rsidP="001E5564">
            <w:pPr>
              <w:rPr>
                <w:rFonts w:eastAsia="Calibri" w:cs="Arial"/>
              </w:rPr>
            </w:pPr>
            <w:r w:rsidRPr="00090673">
              <w:rPr>
                <w:rFonts w:eastAsia="Calibri" w:cs="Arial"/>
              </w:rPr>
              <w:t xml:space="preserve">In Dhaka, more than one-third of the population lives in </w:t>
            </w:r>
            <w:r w:rsidR="009F764B" w:rsidRPr="00090673">
              <w:rPr>
                <w:rFonts w:eastAsia="Calibri" w:cs="Arial"/>
              </w:rPr>
              <w:t>informal settlements</w:t>
            </w:r>
            <w:r w:rsidRPr="00090673">
              <w:rPr>
                <w:rFonts w:eastAsia="Calibri" w:cs="Arial"/>
              </w:rPr>
              <w:t xml:space="preserve"> characterized by overcrowding, substandard housing, inadequate WASH facilities, and high exposure to fire and waterlogging. In Satkhira</w:t>
            </w:r>
            <w:r w:rsidR="009F764B" w:rsidRPr="00090673">
              <w:rPr>
                <w:rFonts w:eastAsia="Calibri" w:cs="Arial"/>
              </w:rPr>
              <w:t>, Khulna</w:t>
            </w:r>
            <w:r w:rsidRPr="00090673">
              <w:rPr>
                <w:rFonts w:eastAsia="Calibri" w:cs="Arial"/>
              </w:rPr>
              <w:t xml:space="preserve"> and surrounding coastal areas, </w:t>
            </w:r>
            <w:proofErr w:type="gramStart"/>
            <w:r w:rsidRPr="00090673">
              <w:rPr>
                <w:rFonts w:eastAsia="Calibri" w:cs="Arial"/>
              </w:rPr>
              <w:t>urban poor</w:t>
            </w:r>
            <w:proofErr w:type="gramEnd"/>
            <w:r w:rsidRPr="00090673">
              <w:rPr>
                <w:rFonts w:eastAsia="Calibri" w:cs="Arial"/>
              </w:rPr>
              <w:t xml:space="preserve"> communities are highly vulnerable to tidal flooding, cyclones, salinity intrusion, and prolonged waterlogging. Many residents are climate migrants displaced by recurrent disasters and loss of livelihoods in rural areas.</w:t>
            </w:r>
          </w:p>
          <w:p w14:paraId="5EBB0CC2" w14:textId="185CE651" w:rsidR="002C0F93" w:rsidRPr="00090673" w:rsidRDefault="002C0F93" w:rsidP="001E5564">
            <w:pPr>
              <w:rPr>
                <w:rFonts w:eastAsia="Calibri" w:cs="Arial"/>
              </w:rPr>
            </w:pPr>
            <w:r w:rsidRPr="00090673">
              <w:rPr>
                <w:rFonts w:eastAsia="Calibri" w:cs="Arial"/>
              </w:rPr>
              <w:t xml:space="preserve">A study conducted by Deutsche Gesellschaft für </w:t>
            </w:r>
            <w:proofErr w:type="spellStart"/>
            <w:r w:rsidRPr="00090673">
              <w:rPr>
                <w:rFonts w:eastAsia="Calibri" w:cs="Arial"/>
              </w:rPr>
              <w:t>Internationale</w:t>
            </w:r>
            <w:proofErr w:type="spellEnd"/>
            <w:r w:rsidRPr="00090673">
              <w:rPr>
                <w:rFonts w:eastAsia="Calibri" w:cs="Arial"/>
              </w:rPr>
              <w:t xml:space="preserve"> Zusammenarbeit (GIZ) Bangladesh under the “Urban Management of Internal Migration due to Climate Change (UMIMCC)” project found that 57% of</w:t>
            </w:r>
            <w:r w:rsidR="008875BE" w:rsidRPr="00090673">
              <w:rPr>
                <w:rFonts w:eastAsia="Calibri" w:cs="Arial"/>
              </w:rPr>
              <w:t xml:space="preserve"> informal settlement</w:t>
            </w:r>
            <w:r w:rsidRPr="00090673">
              <w:rPr>
                <w:rFonts w:eastAsia="Calibri" w:cs="Arial"/>
              </w:rPr>
              <w:t xml:space="preserve"> dwellers in five Bangladeshi cities were climate migrants, while 55% had lived in slums for more than 20 years. The COVID-19 pandemic further intensified socio-economic and health vulnerabilities among these communities, especially women, children, persons with disabilities, and migrant households.</w:t>
            </w:r>
          </w:p>
          <w:p w14:paraId="229AB47E" w14:textId="0B915BEE" w:rsidR="002C0F93" w:rsidRPr="00090673" w:rsidRDefault="002C0F93" w:rsidP="001E5564">
            <w:pPr>
              <w:rPr>
                <w:rFonts w:eastAsia="Calibri" w:cs="Arial"/>
              </w:rPr>
            </w:pPr>
            <w:r w:rsidRPr="00090673">
              <w:rPr>
                <w:rFonts w:eastAsia="Calibri" w:cs="Arial"/>
              </w:rPr>
              <w:t xml:space="preserve">In response, Habitat for Humanity </w:t>
            </w:r>
            <w:r w:rsidR="002208B9" w:rsidRPr="00090673">
              <w:rPr>
                <w:rFonts w:eastAsia="Calibri" w:cs="Arial"/>
              </w:rPr>
              <w:t xml:space="preserve">International- </w:t>
            </w:r>
            <w:r w:rsidRPr="00090673">
              <w:rPr>
                <w:rFonts w:eastAsia="Calibri" w:cs="Arial"/>
              </w:rPr>
              <w:t>Bangladesh (HFH</w:t>
            </w:r>
            <w:r w:rsidR="002208B9" w:rsidRPr="00090673">
              <w:rPr>
                <w:rFonts w:eastAsia="Calibri" w:cs="Arial"/>
              </w:rPr>
              <w:t>I-</w:t>
            </w:r>
            <w:r w:rsidRPr="00090673">
              <w:rPr>
                <w:rFonts w:eastAsia="Calibri" w:cs="Arial"/>
              </w:rPr>
              <w:t>B) has been implementing an integrated urban program focused on climate-resilient housing improvements, WASH services, disaster risk reduction, community participation, and inclusive urban governance in informal settlements in Dhaka and Satkhira</w:t>
            </w:r>
            <w:r w:rsidR="000D42E6" w:rsidRPr="00090673">
              <w:rPr>
                <w:rFonts w:eastAsia="Calibri" w:cs="Arial"/>
              </w:rPr>
              <w:t xml:space="preserve"> and adjacent areas</w:t>
            </w:r>
            <w:r w:rsidRPr="00090673">
              <w:rPr>
                <w:rFonts w:eastAsia="Calibri" w:cs="Arial"/>
              </w:rPr>
              <w:t>. The program aligns with national priorities outlined in the National Housing Policy (2016), Urban Sector Policy (2014), the 8th Five-Year Plan, and the National Urban Policy (2025), which emphasize climate resilience, inclusive urban development, and improved living conditions for low-income urban populations.</w:t>
            </w:r>
          </w:p>
          <w:p w14:paraId="55844CDA" w14:textId="1FAAB5EE" w:rsidR="002C0F93" w:rsidRPr="00090673" w:rsidRDefault="002C0F93" w:rsidP="001E5564">
            <w:pPr>
              <w:rPr>
                <w:rFonts w:eastAsia="Calibri" w:cs="Arial"/>
              </w:rPr>
            </w:pPr>
            <w:r w:rsidRPr="00090673">
              <w:rPr>
                <w:rFonts w:eastAsia="Calibri" w:cs="Arial"/>
              </w:rPr>
              <w:t>The program design has been informed through community consultations, focus group discussions, and engagement with local authorities and marginalized groups including women, youth, persons with disabilities, tenants, and migrant families. While the program has contributed to improving living conditions and resilience, there remains a need to assess its overall impact, identify gaps and emerging opportunities, and strengthen future urban programming approaches.</w:t>
            </w:r>
          </w:p>
          <w:p w14:paraId="00A25145" w14:textId="06E7A04C" w:rsidR="006875E3" w:rsidRPr="00090673" w:rsidRDefault="002C0F93" w:rsidP="001E5564">
            <w:pPr>
              <w:rPr>
                <w:rFonts w:eastAsia="Calibri" w:cs="Arial"/>
              </w:rPr>
            </w:pPr>
            <w:r w:rsidRPr="00090673">
              <w:rPr>
                <w:rFonts w:eastAsia="Calibri" w:cs="Arial"/>
              </w:rPr>
              <w:t>Therefore, HFH</w:t>
            </w:r>
            <w:r w:rsidR="002208B9" w:rsidRPr="00090673">
              <w:rPr>
                <w:rFonts w:eastAsia="Calibri" w:cs="Arial"/>
              </w:rPr>
              <w:t>I-</w:t>
            </w:r>
            <w:r w:rsidRPr="00090673">
              <w:rPr>
                <w:rFonts w:eastAsia="Calibri" w:cs="Arial"/>
              </w:rPr>
              <w:t>B intends to conduct an impact study of the current urban program to evaluate its effectiveness, relevance, sustainability, and lessons learned. The study will also identify strategic gaps and opportunities and support the development of an expanded urban programming framework for inclusive and climate-resilient urban development in Bangladesh.</w:t>
            </w:r>
          </w:p>
        </w:tc>
      </w:tr>
      <w:tr w:rsidR="00B27F6C" w:rsidRPr="00090673" w14:paraId="31F85DFE" w14:textId="77777777" w:rsidTr="000F68C2">
        <w:tblPrEx>
          <w:jc w:val="left"/>
          <w:tblCellMar>
            <w:top w:w="29" w:type="dxa"/>
            <w:bottom w:w="29" w:type="dxa"/>
          </w:tblCellMar>
        </w:tblPrEx>
        <w:trPr>
          <w:trHeight w:val="125"/>
        </w:trPr>
        <w:tc>
          <w:tcPr>
            <w:tcW w:w="9305" w:type="dxa"/>
            <w:gridSpan w:val="2"/>
            <w:shd w:val="clear" w:color="auto" w:fill="D9E2F3"/>
          </w:tcPr>
          <w:p w14:paraId="239F5122" w14:textId="77777777" w:rsidR="00B27F6C" w:rsidRPr="00090673" w:rsidRDefault="00B27F6C" w:rsidP="006F35FC">
            <w:pPr>
              <w:numPr>
                <w:ilvl w:val="0"/>
                <w:numId w:val="1"/>
              </w:numPr>
              <w:ind w:left="720"/>
              <w:rPr>
                <w:rFonts w:eastAsia="Calibri" w:cs="Arial"/>
                <w:b/>
                <w:bCs/>
                <w:iCs/>
              </w:rPr>
            </w:pPr>
            <w:r w:rsidRPr="00090673">
              <w:rPr>
                <w:rFonts w:eastAsia="Calibri" w:cs="Arial"/>
                <w:b/>
                <w:bCs/>
                <w:iCs/>
              </w:rPr>
              <w:t>Design of the Study</w:t>
            </w:r>
          </w:p>
        </w:tc>
      </w:tr>
      <w:tr w:rsidR="008E3B23" w:rsidRPr="00090673" w14:paraId="687F122A" w14:textId="77777777" w:rsidTr="000F68C2">
        <w:tblPrEx>
          <w:jc w:val="left"/>
          <w:tblCellMar>
            <w:top w:w="29" w:type="dxa"/>
            <w:bottom w:w="29" w:type="dxa"/>
          </w:tblCellMar>
        </w:tblPrEx>
        <w:trPr>
          <w:trHeight w:val="530"/>
        </w:trPr>
        <w:tc>
          <w:tcPr>
            <w:tcW w:w="9305" w:type="dxa"/>
            <w:gridSpan w:val="2"/>
          </w:tcPr>
          <w:p w14:paraId="6CF3CBB7" w14:textId="77777777" w:rsidR="008538EB" w:rsidRPr="00090673" w:rsidRDefault="008538EB" w:rsidP="001E5564">
            <w:pPr>
              <w:rPr>
                <w:rFonts w:cs="Arial"/>
                <w:b/>
                <w:bCs/>
              </w:rPr>
            </w:pPr>
            <w:r w:rsidRPr="00090673">
              <w:rPr>
                <w:rFonts w:cs="Arial"/>
                <w:b/>
                <w:bCs/>
              </w:rPr>
              <w:t>Overall Objective</w:t>
            </w:r>
          </w:p>
          <w:p w14:paraId="74BF01F8" w14:textId="4C443145" w:rsidR="00E42CDC" w:rsidRPr="00090673" w:rsidRDefault="00034627" w:rsidP="001E5564">
            <w:pPr>
              <w:rPr>
                <w:rFonts w:cs="Arial"/>
              </w:rPr>
            </w:pPr>
            <w:r w:rsidRPr="00034627">
              <w:rPr>
                <w:rFonts w:cs="Arial"/>
              </w:rPr>
              <w:lastRenderedPageBreak/>
              <w:t>To assess the impact, effectiveness, relevance, sustainability, and scalability of Habitat for Humanity Bangladesh’s current urban program related to housing, basic services, livelihoods, and local level governance in informal settlements in Dhaka, Khulna and Satkhira, identify critical strategic and operational gaps and emerging opportunities, and develop an scalable programming framework for inclusive, climate-resilient, and systems-oriented urban development in Bangladesh.</w:t>
            </w:r>
          </w:p>
          <w:p w14:paraId="753ED4DE" w14:textId="77777777" w:rsidR="008538EB" w:rsidRPr="00090673" w:rsidRDefault="008538EB" w:rsidP="001E5564">
            <w:pPr>
              <w:rPr>
                <w:rFonts w:cs="Arial"/>
                <w:b/>
                <w:bCs/>
              </w:rPr>
            </w:pPr>
            <w:r w:rsidRPr="00090673">
              <w:rPr>
                <w:rFonts w:cs="Arial"/>
                <w:b/>
                <w:bCs/>
              </w:rPr>
              <w:t>Specific Objectives</w:t>
            </w:r>
          </w:p>
          <w:p w14:paraId="36B9BA9E" w14:textId="0E0818CC" w:rsidR="00E42CDC" w:rsidRPr="00090673" w:rsidRDefault="008538EB">
            <w:pPr>
              <w:pStyle w:val="ListParagraph"/>
              <w:numPr>
                <w:ilvl w:val="0"/>
                <w:numId w:val="3"/>
              </w:numPr>
              <w:rPr>
                <w:rFonts w:ascii="Arial" w:hAnsi="Arial" w:cs="Arial"/>
                <w:sz w:val="22"/>
                <w:szCs w:val="22"/>
              </w:rPr>
            </w:pPr>
            <w:r w:rsidRPr="00090673">
              <w:rPr>
                <w:rFonts w:ascii="Arial" w:hAnsi="Arial" w:cs="Arial"/>
                <w:b/>
                <w:bCs/>
                <w:sz w:val="22"/>
                <w:szCs w:val="22"/>
              </w:rPr>
              <w:t>Assess program impact and effectiveness</w:t>
            </w:r>
            <w:r w:rsidRPr="00090673">
              <w:rPr>
                <w:rFonts w:ascii="Arial" w:hAnsi="Arial" w:cs="Arial"/>
                <w:sz w:val="22"/>
                <w:szCs w:val="22"/>
              </w:rPr>
              <w:br/>
              <w:t>Evaluate the extent to which the current</w:t>
            </w:r>
            <w:r w:rsidR="009E68B6">
              <w:rPr>
                <w:rFonts w:ascii="Arial" w:hAnsi="Arial" w:cs="Arial"/>
                <w:sz w:val="22"/>
                <w:szCs w:val="22"/>
              </w:rPr>
              <w:t>/former</w:t>
            </w:r>
            <w:r w:rsidRPr="00090673">
              <w:rPr>
                <w:rFonts w:ascii="Arial" w:hAnsi="Arial" w:cs="Arial"/>
                <w:sz w:val="22"/>
                <w:szCs w:val="22"/>
              </w:rPr>
              <w:t xml:space="preserve"> urban program has improved climate-resilient housing conditions, WASH access, disaster preparedness, community participation,</w:t>
            </w:r>
            <w:r w:rsidR="009E68B6">
              <w:rPr>
                <w:rFonts w:ascii="Arial" w:hAnsi="Arial" w:cs="Arial"/>
                <w:sz w:val="22"/>
                <w:szCs w:val="22"/>
              </w:rPr>
              <w:t xml:space="preserve"> livelihood</w:t>
            </w:r>
            <w:r w:rsidRPr="00090673">
              <w:rPr>
                <w:rFonts w:ascii="Arial" w:hAnsi="Arial" w:cs="Arial"/>
                <w:sz w:val="22"/>
                <w:szCs w:val="22"/>
              </w:rPr>
              <w:t xml:space="preserve"> and overall resilience of vulnerable urban households, particularly women, youth, persons with disabilities, climate migrants, and other marginalized groups. </w:t>
            </w:r>
          </w:p>
          <w:p w14:paraId="6C442A15" w14:textId="77777777" w:rsidR="00E42CDC" w:rsidRPr="00090673" w:rsidRDefault="008538EB">
            <w:pPr>
              <w:pStyle w:val="ListParagraph"/>
              <w:numPr>
                <w:ilvl w:val="0"/>
                <w:numId w:val="3"/>
              </w:numPr>
              <w:rPr>
                <w:rFonts w:ascii="Arial" w:hAnsi="Arial" w:cs="Arial"/>
                <w:sz w:val="22"/>
                <w:szCs w:val="22"/>
              </w:rPr>
            </w:pPr>
            <w:r w:rsidRPr="00090673">
              <w:rPr>
                <w:rFonts w:ascii="Arial" w:hAnsi="Arial" w:cs="Arial"/>
                <w:b/>
                <w:bCs/>
                <w:sz w:val="22"/>
                <w:szCs w:val="22"/>
              </w:rPr>
              <w:t>Examine relevance and responsiveness of interventions</w:t>
            </w:r>
            <w:r w:rsidRPr="00090673">
              <w:rPr>
                <w:rFonts w:ascii="Arial" w:hAnsi="Arial" w:cs="Arial"/>
                <w:sz w:val="22"/>
                <w:szCs w:val="22"/>
              </w:rPr>
              <w:br/>
              <w:t xml:space="preserve">Assess how effectively the program addresses the evolving needs and vulnerabilities of informal settlement residents in the context of rapid urbanization, climate change, displacement, tenure insecurity, and socio-economic exclusion. </w:t>
            </w:r>
          </w:p>
          <w:p w14:paraId="062DE346" w14:textId="77777777" w:rsidR="00E42CDC" w:rsidRPr="00090673" w:rsidRDefault="008538EB">
            <w:pPr>
              <w:pStyle w:val="ListParagraph"/>
              <w:numPr>
                <w:ilvl w:val="0"/>
                <w:numId w:val="3"/>
              </w:numPr>
              <w:rPr>
                <w:rFonts w:ascii="Arial" w:hAnsi="Arial" w:cs="Arial"/>
                <w:sz w:val="22"/>
                <w:szCs w:val="22"/>
              </w:rPr>
            </w:pPr>
            <w:r w:rsidRPr="00090673">
              <w:rPr>
                <w:rFonts w:ascii="Arial" w:hAnsi="Arial" w:cs="Arial"/>
                <w:b/>
                <w:bCs/>
                <w:sz w:val="22"/>
                <w:szCs w:val="22"/>
              </w:rPr>
              <w:t>Analyze sustainability and scalability of program approaches</w:t>
            </w:r>
            <w:r w:rsidRPr="00090673">
              <w:rPr>
                <w:rFonts w:ascii="Arial" w:hAnsi="Arial" w:cs="Arial"/>
                <w:sz w:val="22"/>
                <w:szCs w:val="22"/>
              </w:rPr>
              <w:br/>
              <w:t xml:space="preserve">Examine the sustainability of existing interventions, including community governance structures, WASH operation and maintenance systems, housing repair and finance mechanisms, volunteer engagement, and livelihood pathways, and identify opportunities for replication and scale-up in other urban contexts. </w:t>
            </w:r>
          </w:p>
          <w:p w14:paraId="17DA71C8" w14:textId="77777777" w:rsidR="00E42CDC" w:rsidRPr="00090673" w:rsidRDefault="008538EB">
            <w:pPr>
              <w:pStyle w:val="ListParagraph"/>
              <w:numPr>
                <w:ilvl w:val="0"/>
                <w:numId w:val="3"/>
              </w:numPr>
              <w:rPr>
                <w:rFonts w:ascii="Arial" w:hAnsi="Arial" w:cs="Arial"/>
                <w:sz w:val="22"/>
                <w:szCs w:val="22"/>
              </w:rPr>
            </w:pPr>
            <w:r w:rsidRPr="00090673">
              <w:rPr>
                <w:rFonts w:ascii="Arial" w:hAnsi="Arial" w:cs="Arial"/>
                <w:b/>
                <w:bCs/>
                <w:sz w:val="22"/>
                <w:szCs w:val="22"/>
              </w:rPr>
              <w:t>Identify gaps, barriers, and systemic challenges</w:t>
            </w:r>
            <w:r w:rsidRPr="00090673">
              <w:rPr>
                <w:rFonts w:ascii="Arial" w:hAnsi="Arial" w:cs="Arial"/>
                <w:sz w:val="22"/>
                <w:szCs w:val="22"/>
              </w:rPr>
              <w:br/>
              <w:t xml:space="preserve">Identify key operational, institutional, financial, governance, and policy gaps that limit inclusive urban upgrading and resilience building, including barriers related to tenure security, municipal integration, access to housing finance, inclusive participation, and coordination among stakeholders. </w:t>
            </w:r>
          </w:p>
          <w:p w14:paraId="4A2073CF" w14:textId="469C3087" w:rsidR="00E42CDC" w:rsidRPr="00090673" w:rsidRDefault="008538EB">
            <w:pPr>
              <w:pStyle w:val="ListParagraph"/>
              <w:numPr>
                <w:ilvl w:val="0"/>
                <w:numId w:val="3"/>
              </w:numPr>
              <w:rPr>
                <w:rFonts w:ascii="Arial" w:hAnsi="Arial" w:cs="Arial"/>
                <w:sz w:val="22"/>
                <w:szCs w:val="22"/>
              </w:rPr>
            </w:pPr>
            <w:r w:rsidRPr="00090673">
              <w:rPr>
                <w:rFonts w:ascii="Arial" w:hAnsi="Arial" w:cs="Arial"/>
                <w:b/>
                <w:bCs/>
                <w:sz w:val="22"/>
                <w:szCs w:val="22"/>
              </w:rPr>
              <w:t>Assess inclusiveness and gender responsiveness</w:t>
            </w:r>
            <w:r w:rsidRPr="00090673">
              <w:rPr>
                <w:rFonts w:ascii="Arial" w:hAnsi="Arial" w:cs="Arial"/>
                <w:sz w:val="22"/>
                <w:szCs w:val="22"/>
              </w:rPr>
              <w:br/>
              <w:t xml:space="preserve">Evaluate the extent to which the program has promoted meaningful participation, leadership, and equitable access to services and opportunities for women, youth, persons with disabilities, and socially excluded populations. </w:t>
            </w:r>
          </w:p>
          <w:p w14:paraId="52439B90" w14:textId="78C5B4C4" w:rsidR="00E42CDC" w:rsidRPr="00090673" w:rsidRDefault="008538EB">
            <w:pPr>
              <w:pStyle w:val="ListParagraph"/>
              <w:numPr>
                <w:ilvl w:val="0"/>
                <w:numId w:val="3"/>
              </w:numPr>
              <w:rPr>
                <w:rFonts w:ascii="Arial" w:hAnsi="Arial" w:cs="Arial"/>
                <w:sz w:val="22"/>
                <w:szCs w:val="22"/>
              </w:rPr>
            </w:pPr>
            <w:r w:rsidRPr="00090673">
              <w:rPr>
                <w:rFonts w:ascii="Arial" w:hAnsi="Arial" w:cs="Arial"/>
                <w:b/>
                <w:bCs/>
                <w:sz w:val="22"/>
                <w:szCs w:val="22"/>
              </w:rPr>
              <w:t>Review policy alignment and systems change contributions</w:t>
            </w:r>
            <w:r w:rsidRPr="00090673">
              <w:rPr>
                <w:rFonts w:ascii="Arial" w:hAnsi="Arial" w:cs="Arial"/>
                <w:sz w:val="22"/>
                <w:szCs w:val="22"/>
              </w:rPr>
              <w:br/>
              <w:t xml:space="preserve">Assess how the program aligns with national urban development and housing priorities, including the National Housing Policy (2016), Urban Sector Policy (2014), 8th Five-Year Plan, and National Urban Policy (2025), and examine its contribution to policy advocacy, municipal engagement, and strengthening community-driven urban governance systems. </w:t>
            </w:r>
          </w:p>
          <w:p w14:paraId="4DADEE76" w14:textId="77777777" w:rsidR="00E42CDC" w:rsidRPr="00090673" w:rsidRDefault="008538EB">
            <w:pPr>
              <w:pStyle w:val="ListParagraph"/>
              <w:numPr>
                <w:ilvl w:val="0"/>
                <w:numId w:val="3"/>
              </w:numPr>
              <w:rPr>
                <w:rFonts w:ascii="Arial" w:hAnsi="Arial" w:cs="Arial"/>
                <w:sz w:val="22"/>
                <w:szCs w:val="22"/>
              </w:rPr>
            </w:pPr>
            <w:r w:rsidRPr="00090673">
              <w:rPr>
                <w:rFonts w:ascii="Arial" w:hAnsi="Arial" w:cs="Arial"/>
                <w:b/>
                <w:bCs/>
                <w:sz w:val="22"/>
                <w:szCs w:val="22"/>
              </w:rPr>
              <w:t>Document lessons learned, good practices, and innovative models</w:t>
            </w:r>
            <w:r w:rsidRPr="00090673">
              <w:rPr>
                <w:rFonts w:ascii="Arial" w:hAnsi="Arial" w:cs="Arial"/>
                <w:sz w:val="22"/>
                <w:szCs w:val="22"/>
              </w:rPr>
              <w:br/>
              <w:t>Identify successful approaches, replicable models, and key lessons from housing, WASH, governance, disaster risk reduction, livelihoods, and community engagement interventions that can inform future urban programming and advocacy initiatives.</w:t>
            </w:r>
          </w:p>
          <w:p w14:paraId="36C048FD" w14:textId="57809709" w:rsidR="003D5057" w:rsidRPr="004A7A27" w:rsidRDefault="0052197D" w:rsidP="004A7A27">
            <w:pPr>
              <w:pStyle w:val="ListParagraph"/>
              <w:numPr>
                <w:ilvl w:val="0"/>
                <w:numId w:val="3"/>
              </w:numPr>
              <w:rPr>
                <w:rFonts w:cs="Arial"/>
              </w:rPr>
            </w:pPr>
            <w:r w:rsidRPr="004A7A27">
              <w:rPr>
                <w:rFonts w:ascii="Arial" w:hAnsi="Arial" w:cs="Arial"/>
                <w:b/>
                <w:bCs/>
                <w:sz w:val="22"/>
                <w:szCs w:val="22"/>
              </w:rPr>
              <w:t>Provide</w:t>
            </w:r>
            <w:r w:rsidR="008538EB" w:rsidRPr="004A7A27">
              <w:rPr>
                <w:rFonts w:ascii="Arial" w:hAnsi="Arial" w:cs="Arial"/>
                <w:b/>
                <w:bCs/>
                <w:sz w:val="22"/>
                <w:szCs w:val="22"/>
              </w:rPr>
              <w:t xml:space="preserve"> recommendations and </w:t>
            </w:r>
            <w:r w:rsidRPr="004A7A27">
              <w:rPr>
                <w:rFonts w:ascii="Arial" w:hAnsi="Arial" w:cs="Arial"/>
                <w:b/>
                <w:bCs/>
                <w:sz w:val="22"/>
                <w:szCs w:val="22"/>
              </w:rPr>
              <w:t xml:space="preserve">develop </w:t>
            </w:r>
            <w:r w:rsidR="008538EB" w:rsidRPr="004A7A27">
              <w:rPr>
                <w:rFonts w:ascii="Arial" w:hAnsi="Arial" w:cs="Arial"/>
                <w:b/>
                <w:bCs/>
                <w:sz w:val="22"/>
                <w:szCs w:val="22"/>
              </w:rPr>
              <w:t>an expanded programming framework</w:t>
            </w:r>
            <w:r w:rsidR="008538EB" w:rsidRPr="004A7A27">
              <w:rPr>
                <w:rFonts w:ascii="Arial" w:hAnsi="Arial" w:cs="Arial"/>
                <w:sz w:val="22"/>
                <w:szCs w:val="22"/>
              </w:rPr>
              <w:br/>
            </w:r>
            <w:r w:rsidR="004A7A27" w:rsidRPr="004A7A27">
              <w:rPr>
                <w:rFonts w:ascii="Arial" w:hAnsi="Arial" w:cs="Arial"/>
                <w:sz w:val="22"/>
                <w:szCs w:val="22"/>
              </w:rPr>
              <w:t>Provide practical evidence-based recommendations and develop an expanded programming framework to guide future urban programming, including potential thematic priorities, scalable models, geographic expansion, partnership opportunities, financing pathways, advocacy priorities, and systems-based approaches for pilot design, scaling, and adaptive learning for climate-resilient and inclusive urban development.</w:t>
            </w:r>
            <w:r w:rsidR="006D1245" w:rsidRPr="004A7A27">
              <w:rPr>
                <w:rFonts w:cs="Arial"/>
              </w:rPr>
              <w:t xml:space="preserve"> </w:t>
            </w:r>
          </w:p>
          <w:tbl>
            <w:tblPr>
              <w:tblpPr w:leftFromText="180" w:rightFromText="180" w:vertAnchor="text" w:horzAnchor="page" w:tblpX="1" w:tblpY="91"/>
              <w:tblW w:w="94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9495"/>
            </w:tblGrid>
            <w:tr w:rsidR="00767D95" w:rsidRPr="00090673" w14:paraId="2BFB40F9" w14:textId="77777777" w:rsidTr="00C5398A">
              <w:trPr>
                <w:trHeight w:val="350"/>
              </w:trPr>
              <w:tc>
                <w:tcPr>
                  <w:tcW w:w="9495" w:type="dxa"/>
                  <w:shd w:val="clear" w:color="auto" w:fill="D9E2F3"/>
                </w:tcPr>
                <w:p w14:paraId="09BCD31A" w14:textId="77777777" w:rsidR="00767D95" w:rsidRPr="00090673" w:rsidRDefault="00767D95" w:rsidP="009C7451">
                  <w:pPr>
                    <w:numPr>
                      <w:ilvl w:val="0"/>
                      <w:numId w:val="1"/>
                    </w:numPr>
                    <w:ind w:left="720"/>
                    <w:rPr>
                      <w:rFonts w:cs="Arial"/>
                      <w:b/>
                      <w:bCs/>
                    </w:rPr>
                  </w:pPr>
                  <w:r w:rsidRPr="00090673">
                    <w:rPr>
                      <w:rFonts w:eastAsia="Calibri" w:cs="Arial"/>
                      <w:b/>
                      <w:bCs/>
                    </w:rPr>
                    <w:t>Scope of the study</w:t>
                  </w:r>
                </w:p>
              </w:tc>
            </w:tr>
          </w:tbl>
          <w:p w14:paraId="75883951" w14:textId="20309A34" w:rsidR="00D807E3" w:rsidRPr="00090673" w:rsidRDefault="00AD24FE">
            <w:pPr>
              <w:pStyle w:val="ListParagraph"/>
              <w:numPr>
                <w:ilvl w:val="0"/>
                <w:numId w:val="6"/>
              </w:numPr>
              <w:rPr>
                <w:rFonts w:ascii="Arial" w:eastAsia="Cambria" w:hAnsi="Arial" w:cs="Arial"/>
                <w:b/>
                <w:bCs/>
                <w:spacing w:val="1"/>
              </w:rPr>
            </w:pPr>
            <w:r w:rsidRPr="00040F47">
              <w:rPr>
                <w:rFonts w:ascii="Arial" w:eastAsia="Cambria" w:hAnsi="Arial" w:cs="Arial"/>
                <w:b/>
                <w:bCs/>
                <w:spacing w:val="1"/>
              </w:rPr>
              <w:t>Program Review and Outcome Assessment</w:t>
            </w:r>
            <w:r w:rsidRPr="00040F47" w:rsidDel="00040F47">
              <w:rPr>
                <w:rFonts w:ascii="Arial" w:eastAsia="Cambria" w:hAnsi="Arial" w:cs="Arial"/>
                <w:b/>
                <w:bCs/>
                <w:spacing w:val="1"/>
              </w:rPr>
              <w:t xml:space="preserve"> </w:t>
            </w:r>
            <w:r w:rsidR="00D807E3" w:rsidRPr="00090673">
              <w:rPr>
                <w:rFonts w:ascii="Arial" w:eastAsia="Cambria" w:hAnsi="Arial" w:cs="Arial"/>
                <w:b/>
                <w:bCs/>
                <w:spacing w:val="1"/>
              </w:rPr>
              <w:t>of the Current</w:t>
            </w:r>
            <w:r>
              <w:rPr>
                <w:rFonts w:ascii="Arial" w:eastAsia="Cambria" w:hAnsi="Arial" w:cs="Arial"/>
                <w:b/>
                <w:bCs/>
                <w:spacing w:val="1"/>
              </w:rPr>
              <w:t>/former</w:t>
            </w:r>
            <w:r w:rsidR="00D807E3" w:rsidRPr="00090673">
              <w:rPr>
                <w:rFonts w:ascii="Arial" w:eastAsia="Cambria" w:hAnsi="Arial" w:cs="Arial"/>
                <w:b/>
                <w:bCs/>
                <w:spacing w:val="1"/>
              </w:rPr>
              <w:t xml:space="preserve"> Urban Program</w:t>
            </w:r>
          </w:p>
          <w:p w14:paraId="18BFEBD5" w14:textId="1E2A17F7" w:rsidR="00C035F8" w:rsidRDefault="00C035F8" w:rsidP="00D807E3">
            <w:pPr>
              <w:rPr>
                <w:rFonts w:eastAsia="Cambria" w:cs="Arial"/>
                <w:spacing w:val="1"/>
              </w:rPr>
            </w:pPr>
            <w:r w:rsidRPr="00090673">
              <w:rPr>
                <w:rFonts w:eastAsia="Cambria" w:cs="Arial"/>
                <w:spacing w:val="1"/>
              </w:rPr>
              <w:t>The study will cover the current urban program implemented by HFH</w:t>
            </w:r>
            <w:r w:rsidR="006E0D06" w:rsidRPr="00090673">
              <w:rPr>
                <w:rFonts w:eastAsia="Cambria" w:cs="Arial"/>
                <w:spacing w:val="1"/>
              </w:rPr>
              <w:t>I-</w:t>
            </w:r>
            <w:r w:rsidRPr="00090673">
              <w:rPr>
                <w:rFonts w:eastAsia="Cambria" w:cs="Arial"/>
                <w:spacing w:val="1"/>
              </w:rPr>
              <w:t>B in informal settlements in Dhaka, Satkhira, and adjacent urban areas. The study will assess the overall performance, impact, sustainability, and future potential of the program using the OECD-DAC evaluation criteria: relevance, coherence, effectiveness, efficiency, impact, and sustainability.</w:t>
            </w:r>
          </w:p>
          <w:p w14:paraId="11B8D97A" w14:textId="65B4FADF" w:rsidR="00384A4C" w:rsidRPr="00090673" w:rsidRDefault="00384A4C" w:rsidP="00D807E3">
            <w:pPr>
              <w:rPr>
                <w:rFonts w:eastAsia="Cambria" w:cs="Arial"/>
                <w:spacing w:val="1"/>
              </w:rPr>
            </w:pPr>
            <w:r w:rsidRPr="00384A4C">
              <w:rPr>
                <w:rFonts w:eastAsia="Cambria" w:cs="Arial"/>
                <w:spacing w:val="1"/>
              </w:rPr>
              <w:lastRenderedPageBreak/>
              <w:t>This assessment will adopt a mixed-method, contribution-focused approach, drawing on existing monitoring data, prior studies, and stakeholder insights. It will not attempt strict causal attribution unless sufficient baseline/endline datasets exist.</w:t>
            </w:r>
          </w:p>
          <w:p w14:paraId="15C6F7A3" w14:textId="23A69830" w:rsidR="00C035F8" w:rsidRPr="00090673" w:rsidRDefault="00C035F8" w:rsidP="00C035F8">
            <w:pPr>
              <w:rPr>
                <w:rFonts w:eastAsia="Cambria" w:cs="Arial"/>
                <w:color w:val="auto"/>
                <w:spacing w:val="1"/>
                <w:lang w:eastAsia="en-US"/>
              </w:rPr>
            </w:pPr>
            <w:r w:rsidRPr="00090673">
              <w:rPr>
                <w:rFonts w:eastAsia="Cambria" w:cs="Arial"/>
                <w:color w:val="auto"/>
                <w:spacing w:val="1"/>
                <w:lang w:eastAsia="en-US"/>
              </w:rPr>
              <w:t xml:space="preserve">The assessment will examine how the program has addressed challenges related to inadequate housing, poor WASH services, climate vulnerability, </w:t>
            </w:r>
            <w:r w:rsidR="0055122C" w:rsidRPr="00090673">
              <w:rPr>
                <w:rFonts w:eastAsia="Cambria" w:cs="Arial"/>
                <w:color w:val="auto"/>
                <w:spacing w:val="1"/>
                <w:lang w:eastAsia="en-US"/>
              </w:rPr>
              <w:t xml:space="preserve">poor </w:t>
            </w:r>
            <w:r w:rsidR="00D80874" w:rsidRPr="00090673">
              <w:rPr>
                <w:rFonts w:eastAsia="Cambria" w:cs="Arial"/>
                <w:color w:val="auto"/>
                <w:spacing w:val="1"/>
                <w:lang w:eastAsia="en-US"/>
              </w:rPr>
              <w:t>housing and WASH</w:t>
            </w:r>
            <w:r w:rsidR="0055122C" w:rsidRPr="00090673">
              <w:rPr>
                <w:rFonts w:eastAsia="Cambria" w:cs="Arial"/>
                <w:color w:val="auto"/>
                <w:spacing w:val="1"/>
                <w:lang w:eastAsia="en-US"/>
              </w:rPr>
              <w:t xml:space="preserve"> causing </w:t>
            </w:r>
            <w:r w:rsidR="002250B2" w:rsidRPr="00090673">
              <w:rPr>
                <w:rFonts w:eastAsia="Cambria" w:cs="Arial"/>
                <w:color w:val="auto"/>
                <w:spacing w:val="1"/>
                <w:lang w:eastAsia="en-US"/>
              </w:rPr>
              <w:t>environmental degradation and carbon emissions</w:t>
            </w:r>
            <w:r w:rsidRPr="00090673">
              <w:rPr>
                <w:rFonts w:eastAsia="Cambria" w:cs="Arial"/>
                <w:color w:val="auto"/>
                <w:spacing w:val="1"/>
                <w:lang w:eastAsia="en-US"/>
              </w:rPr>
              <w:t>, weak urban governance, and socio-economic exclusion among low-income urban populations, particularly women, youth, persons with disabilities, climate migrants, and other marginalized groups.</w:t>
            </w:r>
          </w:p>
          <w:p w14:paraId="0D16F6F8" w14:textId="77777777" w:rsidR="00C035F8" w:rsidRPr="00090673" w:rsidRDefault="00C035F8" w:rsidP="00C035F8">
            <w:pPr>
              <w:rPr>
                <w:rFonts w:eastAsia="Cambria" w:cs="Arial"/>
                <w:color w:val="auto"/>
                <w:spacing w:val="1"/>
                <w:lang w:eastAsia="en-US"/>
              </w:rPr>
            </w:pPr>
            <w:r w:rsidRPr="00090673">
              <w:rPr>
                <w:rFonts w:eastAsia="Cambria" w:cs="Arial"/>
                <w:color w:val="auto"/>
                <w:spacing w:val="1"/>
                <w:lang w:eastAsia="en-US"/>
              </w:rPr>
              <w:t>The study will review and analyze key program components, including:</w:t>
            </w:r>
          </w:p>
          <w:p w14:paraId="1EB583EF" w14:textId="77777777" w:rsidR="00C035F8" w:rsidRPr="00090673" w:rsidRDefault="00C035F8">
            <w:pPr>
              <w:pStyle w:val="ListParagraph"/>
              <w:numPr>
                <w:ilvl w:val="0"/>
                <w:numId w:val="4"/>
              </w:numPr>
              <w:rPr>
                <w:rFonts w:ascii="Arial" w:eastAsia="Cambria" w:hAnsi="Arial" w:cs="Arial"/>
                <w:spacing w:val="1"/>
                <w:sz w:val="22"/>
                <w:szCs w:val="22"/>
              </w:rPr>
            </w:pPr>
            <w:r w:rsidRPr="00090673">
              <w:rPr>
                <w:rFonts w:ascii="Arial" w:eastAsia="Cambria" w:hAnsi="Arial" w:cs="Arial"/>
                <w:spacing w:val="1"/>
                <w:sz w:val="22"/>
                <w:szCs w:val="22"/>
              </w:rPr>
              <w:t xml:space="preserve">Climate-resilient housing repair and upgrading; </w:t>
            </w:r>
          </w:p>
          <w:p w14:paraId="3B65D488" w14:textId="77777777" w:rsidR="00C035F8" w:rsidRPr="00090673" w:rsidRDefault="00C035F8">
            <w:pPr>
              <w:pStyle w:val="ListParagraph"/>
              <w:numPr>
                <w:ilvl w:val="0"/>
                <w:numId w:val="4"/>
              </w:numPr>
              <w:rPr>
                <w:rFonts w:ascii="Arial" w:eastAsia="Cambria" w:hAnsi="Arial" w:cs="Arial"/>
                <w:spacing w:val="1"/>
                <w:sz w:val="22"/>
                <w:szCs w:val="22"/>
              </w:rPr>
            </w:pPr>
            <w:r w:rsidRPr="00090673">
              <w:rPr>
                <w:rFonts w:ascii="Arial" w:eastAsia="Cambria" w:hAnsi="Arial" w:cs="Arial"/>
                <w:spacing w:val="1"/>
                <w:sz w:val="22"/>
                <w:szCs w:val="22"/>
              </w:rPr>
              <w:t xml:space="preserve">WASH and drainage infrastructure improvements; </w:t>
            </w:r>
          </w:p>
          <w:p w14:paraId="59C076A6" w14:textId="77777777" w:rsidR="00C035F8" w:rsidRPr="00090673" w:rsidRDefault="00C035F8">
            <w:pPr>
              <w:pStyle w:val="ListParagraph"/>
              <w:numPr>
                <w:ilvl w:val="0"/>
                <w:numId w:val="4"/>
              </w:numPr>
              <w:rPr>
                <w:rFonts w:ascii="Arial" w:eastAsia="Cambria" w:hAnsi="Arial" w:cs="Arial"/>
                <w:spacing w:val="1"/>
                <w:sz w:val="22"/>
                <w:szCs w:val="22"/>
              </w:rPr>
            </w:pPr>
            <w:r w:rsidRPr="00090673">
              <w:rPr>
                <w:rFonts w:ascii="Arial" w:eastAsia="Cambria" w:hAnsi="Arial" w:cs="Arial"/>
                <w:spacing w:val="1"/>
                <w:sz w:val="22"/>
                <w:szCs w:val="22"/>
              </w:rPr>
              <w:t xml:space="preserve">Disaster risk reduction and resilience-building interventions; </w:t>
            </w:r>
          </w:p>
          <w:p w14:paraId="2E458596" w14:textId="75E2ABFF" w:rsidR="00EC6A0C" w:rsidRPr="00090673" w:rsidRDefault="00EC6A0C">
            <w:pPr>
              <w:pStyle w:val="ListParagraph"/>
              <w:numPr>
                <w:ilvl w:val="0"/>
                <w:numId w:val="4"/>
              </w:numPr>
              <w:rPr>
                <w:rFonts w:ascii="Arial" w:eastAsia="Cambria" w:hAnsi="Arial" w:cs="Arial"/>
                <w:spacing w:val="1"/>
                <w:sz w:val="22"/>
                <w:szCs w:val="22"/>
              </w:rPr>
            </w:pPr>
            <w:r w:rsidRPr="00090673">
              <w:rPr>
                <w:rFonts w:ascii="Arial" w:eastAsia="Cambria" w:hAnsi="Arial" w:cs="Arial"/>
                <w:spacing w:val="1"/>
                <w:sz w:val="22"/>
                <w:szCs w:val="22"/>
              </w:rPr>
              <w:t>Environmental sustainability and climate mitigation contributions;</w:t>
            </w:r>
          </w:p>
          <w:p w14:paraId="7AAA9D41" w14:textId="77777777" w:rsidR="00C035F8" w:rsidRPr="00090673" w:rsidRDefault="00C035F8">
            <w:pPr>
              <w:pStyle w:val="ListParagraph"/>
              <w:numPr>
                <w:ilvl w:val="0"/>
                <w:numId w:val="4"/>
              </w:numPr>
              <w:rPr>
                <w:rFonts w:ascii="Arial" w:eastAsia="Cambria" w:hAnsi="Arial" w:cs="Arial"/>
                <w:spacing w:val="1"/>
                <w:sz w:val="22"/>
                <w:szCs w:val="22"/>
              </w:rPr>
            </w:pPr>
            <w:r w:rsidRPr="00090673">
              <w:rPr>
                <w:rFonts w:ascii="Arial" w:eastAsia="Cambria" w:hAnsi="Arial" w:cs="Arial"/>
                <w:spacing w:val="1"/>
                <w:sz w:val="22"/>
                <w:szCs w:val="22"/>
              </w:rPr>
              <w:t xml:space="preserve">Livelihoods, skills development, and market linkage initiatives; </w:t>
            </w:r>
          </w:p>
          <w:p w14:paraId="2A81B45C" w14:textId="77777777" w:rsidR="00C035F8" w:rsidRPr="00090673" w:rsidRDefault="00C035F8">
            <w:pPr>
              <w:pStyle w:val="ListParagraph"/>
              <w:numPr>
                <w:ilvl w:val="0"/>
                <w:numId w:val="4"/>
              </w:numPr>
              <w:rPr>
                <w:rFonts w:ascii="Arial" w:eastAsia="Cambria" w:hAnsi="Arial" w:cs="Arial"/>
                <w:spacing w:val="1"/>
                <w:sz w:val="22"/>
                <w:szCs w:val="22"/>
              </w:rPr>
            </w:pPr>
            <w:r w:rsidRPr="00090673">
              <w:rPr>
                <w:rFonts w:ascii="Arial" w:eastAsia="Cambria" w:hAnsi="Arial" w:cs="Arial"/>
                <w:spacing w:val="1"/>
                <w:sz w:val="22"/>
                <w:szCs w:val="22"/>
              </w:rPr>
              <w:t xml:space="preserve">Housing finance and incremental upgrading approaches; </w:t>
            </w:r>
          </w:p>
          <w:p w14:paraId="58258F2C" w14:textId="77777777" w:rsidR="00C035F8" w:rsidRPr="00090673" w:rsidRDefault="00C035F8">
            <w:pPr>
              <w:pStyle w:val="ListParagraph"/>
              <w:numPr>
                <w:ilvl w:val="0"/>
                <w:numId w:val="4"/>
              </w:numPr>
              <w:rPr>
                <w:rFonts w:ascii="Arial" w:eastAsia="Cambria" w:hAnsi="Arial" w:cs="Arial"/>
                <w:spacing w:val="1"/>
                <w:sz w:val="22"/>
                <w:szCs w:val="22"/>
              </w:rPr>
            </w:pPr>
            <w:r w:rsidRPr="00090673">
              <w:rPr>
                <w:rFonts w:ascii="Arial" w:eastAsia="Cambria" w:hAnsi="Arial" w:cs="Arial"/>
                <w:spacing w:val="1"/>
                <w:sz w:val="22"/>
                <w:szCs w:val="22"/>
              </w:rPr>
              <w:t>Community governance structures, volunteer engagement, and civic participation;</w:t>
            </w:r>
          </w:p>
          <w:p w14:paraId="1D21DE31" w14:textId="77777777" w:rsidR="00C035F8" w:rsidRPr="00090673" w:rsidRDefault="00C035F8">
            <w:pPr>
              <w:pStyle w:val="ListParagraph"/>
              <w:numPr>
                <w:ilvl w:val="0"/>
                <w:numId w:val="4"/>
              </w:numPr>
              <w:rPr>
                <w:rFonts w:ascii="Arial" w:eastAsia="Cambria" w:hAnsi="Arial" w:cs="Arial"/>
                <w:spacing w:val="1"/>
                <w:sz w:val="22"/>
                <w:szCs w:val="22"/>
              </w:rPr>
            </w:pPr>
            <w:r w:rsidRPr="00090673">
              <w:rPr>
                <w:rFonts w:ascii="Arial" w:eastAsia="Cambria" w:hAnsi="Arial" w:cs="Arial"/>
                <w:spacing w:val="1"/>
                <w:sz w:val="22"/>
                <w:szCs w:val="22"/>
              </w:rPr>
              <w:t xml:space="preserve">Tenure security and advocacy interventions; </w:t>
            </w:r>
          </w:p>
          <w:p w14:paraId="2103F4B6" w14:textId="77777777" w:rsidR="00C035F8" w:rsidRPr="00090673" w:rsidRDefault="00C035F8">
            <w:pPr>
              <w:pStyle w:val="ListParagraph"/>
              <w:numPr>
                <w:ilvl w:val="0"/>
                <w:numId w:val="4"/>
              </w:numPr>
              <w:rPr>
                <w:rFonts w:ascii="Arial" w:eastAsia="Cambria" w:hAnsi="Arial" w:cs="Arial"/>
                <w:spacing w:val="1"/>
                <w:sz w:val="22"/>
                <w:szCs w:val="22"/>
              </w:rPr>
            </w:pPr>
            <w:r w:rsidRPr="00090673">
              <w:rPr>
                <w:rFonts w:ascii="Arial" w:eastAsia="Cambria" w:hAnsi="Arial" w:cs="Arial"/>
                <w:spacing w:val="1"/>
                <w:sz w:val="22"/>
                <w:szCs w:val="22"/>
              </w:rPr>
              <w:t xml:space="preserve">Gender equality, disability inclusion, and safeguarding measures; </w:t>
            </w:r>
          </w:p>
          <w:p w14:paraId="341E9D67" w14:textId="0D58C180" w:rsidR="00C035F8" w:rsidRPr="00090673" w:rsidRDefault="00C035F8">
            <w:pPr>
              <w:pStyle w:val="ListParagraph"/>
              <w:numPr>
                <w:ilvl w:val="0"/>
                <w:numId w:val="4"/>
              </w:numPr>
              <w:rPr>
                <w:rFonts w:ascii="Arial" w:eastAsia="Cambria" w:hAnsi="Arial" w:cs="Arial"/>
                <w:spacing w:val="1"/>
                <w:sz w:val="22"/>
                <w:szCs w:val="22"/>
              </w:rPr>
            </w:pPr>
            <w:r w:rsidRPr="00090673">
              <w:rPr>
                <w:rFonts w:ascii="Arial" w:eastAsia="Cambria" w:hAnsi="Arial" w:cs="Arial"/>
                <w:spacing w:val="1"/>
                <w:sz w:val="22"/>
                <w:szCs w:val="22"/>
              </w:rPr>
              <w:t xml:space="preserve">Policy engagement, systems strengthening, and municipal coordination. </w:t>
            </w:r>
          </w:p>
          <w:p w14:paraId="09C12E03" w14:textId="77777777" w:rsidR="00C035F8" w:rsidRPr="00090673" w:rsidRDefault="00C035F8" w:rsidP="00C035F8">
            <w:pPr>
              <w:pStyle w:val="ListParagraph"/>
              <w:rPr>
                <w:rFonts w:ascii="Arial" w:eastAsia="Cambria" w:hAnsi="Arial" w:cs="Arial"/>
                <w:spacing w:val="1"/>
                <w:sz w:val="22"/>
                <w:szCs w:val="22"/>
              </w:rPr>
            </w:pPr>
          </w:p>
          <w:p w14:paraId="15893DF4" w14:textId="77777777" w:rsidR="00C035F8" w:rsidRPr="00090673" w:rsidRDefault="00C035F8" w:rsidP="00C035F8">
            <w:pPr>
              <w:rPr>
                <w:rFonts w:eastAsia="Cambria" w:cs="Arial"/>
                <w:color w:val="auto"/>
                <w:spacing w:val="1"/>
                <w:lang w:eastAsia="en-US"/>
              </w:rPr>
            </w:pPr>
            <w:r w:rsidRPr="00090673">
              <w:rPr>
                <w:rFonts w:eastAsia="Cambria" w:cs="Arial"/>
                <w:color w:val="auto"/>
                <w:spacing w:val="1"/>
                <w:lang w:eastAsia="en-US"/>
              </w:rPr>
              <w:t>Using the OECD-DAC criteria, the study will specifically assess:</w:t>
            </w:r>
          </w:p>
          <w:p w14:paraId="17FBAE07" w14:textId="6BC4AB1E" w:rsidR="00C035F8" w:rsidRPr="00090673" w:rsidRDefault="00C035F8">
            <w:pPr>
              <w:pStyle w:val="ListParagraph"/>
              <w:numPr>
                <w:ilvl w:val="0"/>
                <w:numId w:val="5"/>
              </w:numPr>
              <w:rPr>
                <w:rFonts w:ascii="Arial" w:eastAsia="Cambria" w:hAnsi="Arial" w:cs="Arial"/>
                <w:spacing w:val="1"/>
                <w:sz w:val="22"/>
                <w:szCs w:val="22"/>
              </w:rPr>
            </w:pPr>
            <w:r w:rsidRPr="00090673">
              <w:rPr>
                <w:rFonts w:ascii="Arial" w:eastAsia="Cambria" w:hAnsi="Arial" w:cs="Arial"/>
                <w:b/>
                <w:bCs/>
                <w:spacing w:val="1"/>
                <w:sz w:val="22"/>
                <w:szCs w:val="22"/>
              </w:rPr>
              <w:t>Relevance:</w:t>
            </w:r>
            <w:r w:rsidRPr="00090673">
              <w:rPr>
                <w:rFonts w:ascii="Arial" w:eastAsia="Cambria" w:hAnsi="Arial" w:cs="Arial"/>
                <w:spacing w:val="1"/>
                <w:sz w:val="22"/>
                <w:szCs w:val="22"/>
              </w:rPr>
              <w:t xml:space="preserve"> Alignment of the program with community needs, climate risks, </w:t>
            </w:r>
            <w:r w:rsidR="002C5C78" w:rsidRPr="00090673">
              <w:rPr>
                <w:rFonts w:ascii="Arial" w:eastAsia="Cambria" w:hAnsi="Arial" w:cs="Arial"/>
                <w:spacing w:val="1"/>
                <w:sz w:val="22"/>
                <w:szCs w:val="22"/>
              </w:rPr>
              <w:t xml:space="preserve">Environmental sustainability and climate mitigation contributions, </w:t>
            </w:r>
            <w:r w:rsidRPr="00090673">
              <w:rPr>
                <w:rFonts w:ascii="Arial" w:eastAsia="Cambria" w:hAnsi="Arial" w:cs="Arial"/>
                <w:spacing w:val="1"/>
                <w:sz w:val="22"/>
                <w:szCs w:val="22"/>
              </w:rPr>
              <w:t xml:space="preserve">urban realities, and national policy priorities; </w:t>
            </w:r>
          </w:p>
          <w:p w14:paraId="0F2CD987" w14:textId="77777777" w:rsidR="00C035F8" w:rsidRPr="00090673" w:rsidRDefault="00C035F8">
            <w:pPr>
              <w:pStyle w:val="ListParagraph"/>
              <w:numPr>
                <w:ilvl w:val="0"/>
                <w:numId w:val="5"/>
              </w:numPr>
              <w:rPr>
                <w:rFonts w:ascii="Arial" w:eastAsia="Cambria" w:hAnsi="Arial" w:cs="Arial"/>
                <w:spacing w:val="1"/>
                <w:sz w:val="22"/>
                <w:szCs w:val="22"/>
              </w:rPr>
            </w:pPr>
            <w:r w:rsidRPr="00090673">
              <w:rPr>
                <w:rFonts w:ascii="Arial" w:eastAsia="Cambria" w:hAnsi="Arial" w:cs="Arial"/>
                <w:b/>
                <w:bCs/>
                <w:spacing w:val="1"/>
                <w:sz w:val="22"/>
                <w:szCs w:val="22"/>
              </w:rPr>
              <w:t>Coherence:</w:t>
            </w:r>
            <w:r w:rsidRPr="00090673">
              <w:rPr>
                <w:rFonts w:ascii="Arial" w:eastAsia="Cambria" w:hAnsi="Arial" w:cs="Arial"/>
                <w:spacing w:val="1"/>
                <w:sz w:val="22"/>
                <w:szCs w:val="22"/>
              </w:rPr>
              <w:t xml:space="preserve"> Complementarity and coordination with government systems, donor priorities, municipal plans, and other urban development initiatives; </w:t>
            </w:r>
          </w:p>
          <w:p w14:paraId="2A0A9CC7" w14:textId="77777777" w:rsidR="00C035F8" w:rsidRPr="00090673" w:rsidRDefault="00C035F8">
            <w:pPr>
              <w:pStyle w:val="ListParagraph"/>
              <w:numPr>
                <w:ilvl w:val="0"/>
                <w:numId w:val="5"/>
              </w:numPr>
              <w:rPr>
                <w:rFonts w:ascii="Arial" w:eastAsia="Cambria" w:hAnsi="Arial" w:cs="Arial"/>
                <w:spacing w:val="1"/>
                <w:sz w:val="22"/>
                <w:szCs w:val="22"/>
              </w:rPr>
            </w:pPr>
            <w:r w:rsidRPr="00090673">
              <w:rPr>
                <w:rFonts w:ascii="Arial" w:eastAsia="Cambria" w:hAnsi="Arial" w:cs="Arial"/>
                <w:b/>
                <w:bCs/>
                <w:spacing w:val="1"/>
                <w:sz w:val="22"/>
                <w:szCs w:val="22"/>
              </w:rPr>
              <w:t>Effectiveness:</w:t>
            </w:r>
            <w:r w:rsidRPr="00090673">
              <w:rPr>
                <w:rFonts w:ascii="Arial" w:eastAsia="Cambria" w:hAnsi="Arial" w:cs="Arial"/>
                <w:spacing w:val="1"/>
                <w:sz w:val="22"/>
                <w:szCs w:val="22"/>
              </w:rPr>
              <w:t xml:space="preserve"> Achievement of intended outcomes and objectives across housing, WASH, governance, resilience, and inclusion; </w:t>
            </w:r>
          </w:p>
          <w:p w14:paraId="499FB608" w14:textId="77777777" w:rsidR="00C035F8" w:rsidRPr="00090673" w:rsidRDefault="00C035F8">
            <w:pPr>
              <w:pStyle w:val="ListParagraph"/>
              <w:numPr>
                <w:ilvl w:val="0"/>
                <w:numId w:val="5"/>
              </w:numPr>
              <w:rPr>
                <w:rFonts w:ascii="Arial" w:eastAsia="Cambria" w:hAnsi="Arial" w:cs="Arial"/>
                <w:spacing w:val="1"/>
                <w:sz w:val="22"/>
                <w:szCs w:val="22"/>
              </w:rPr>
            </w:pPr>
            <w:r w:rsidRPr="00090673">
              <w:rPr>
                <w:rFonts w:ascii="Arial" w:eastAsia="Cambria" w:hAnsi="Arial" w:cs="Arial"/>
                <w:b/>
                <w:bCs/>
                <w:spacing w:val="1"/>
                <w:sz w:val="22"/>
                <w:szCs w:val="22"/>
              </w:rPr>
              <w:t>Efficiency:</w:t>
            </w:r>
            <w:r w:rsidRPr="00090673">
              <w:rPr>
                <w:rFonts w:ascii="Arial" w:eastAsia="Cambria" w:hAnsi="Arial" w:cs="Arial"/>
                <w:spacing w:val="1"/>
                <w:sz w:val="22"/>
                <w:szCs w:val="22"/>
              </w:rPr>
              <w:t xml:space="preserve"> Use of resources, delivery mechanisms, partnerships, and operational approaches in achieving results; </w:t>
            </w:r>
          </w:p>
          <w:p w14:paraId="312DEF3C" w14:textId="049C6B31" w:rsidR="001947A3" w:rsidRPr="001947A3" w:rsidRDefault="00C035F8" w:rsidP="001947A3">
            <w:pPr>
              <w:pStyle w:val="ListParagraph"/>
              <w:numPr>
                <w:ilvl w:val="0"/>
                <w:numId w:val="5"/>
              </w:numPr>
              <w:rPr>
                <w:rFonts w:ascii="Arial" w:eastAsia="Cambria" w:hAnsi="Arial" w:cs="Arial"/>
                <w:b/>
                <w:bCs/>
                <w:spacing w:val="1"/>
                <w:sz w:val="22"/>
                <w:szCs w:val="22"/>
              </w:rPr>
            </w:pPr>
            <w:r w:rsidRPr="001947A3">
              <w:rPr>
                <w:rFonts w:ascii="Arial" w:eastAsia="Cambria" w:hAnsi="Arial" w:cs="Arial"/>
                <w:b/>
                <w:bCs/>
                <w:spacing w:val="1"/>
                <w:sz w:val="22"/>
                <w:szCs w:val="22"/>
              </w:rPr>
              <w:t>Impact</w:t>
            </w:r>
            <w:r w:rsidR="001947A3">
              <w:rPr>
                <w:rFonts w:ascii="Arial" w:eastAsia="Cambria" w:hAnsi="Arial" w:cs="Arial"/>
                <w:b/>
                <w:bCs/>
                <w:spacing w:val="1"/>
                <w:sz w:val="22"/>
                <w:szCs w:val="22"/>
              </w:rPr>
              <w:t>:</w:t>
            </w:r>
            <w:r w:rsidR="001947A3">
              <w:t xml:space="preserve"> </w:t>
            </w:r>
            <w:r w:rsidR="001947A3" w:rsidRPr="001947A3">
              <w:rPr>
                <w:rFonts w:ascii="Arial" w:eastAsia="Cambria" w:hAnsi="Arial" w:cs="Arial"/>
                <w:spacing w:val="1"/>
                <w:sz w:val="22"/>
                <w:szCs w:val="22"/>
              </w:rPr>
              <w:t>Changes in living conditions, resilience, inclusion, governance participation, institutional practices, and environmental sustainability outcomes, including contributions to climate adaptation, resource efficiency, and potential indicative contributions to environmentally sustainable practices and potential mitigation outcomes;</w:t>
            </w:r>
          </w:p>
          <w:p w14:paraId="626446D5" w14:textId="4A3FA9BD" w:rsidR="00C035F8" w:rsidRPr="00090673" w:rsidRDefault="00C035F8">
            <w:pPr>
              <w:pStyle w:val="ListParagraph"/>
              <w:numPr>
                <w:ilvl w:val="0"/>
                <w:numId w:val="5"/>
              </w:numPr>
              <w:rPr>
                <w:rFonts w:ascii="Arial" w:eastAsia="Cambria" w:hAnsi="Arial" w:cs="Arial"/>
                <w:spacing w:val="1"/>
                <w:sz w:val="22"/>
                <w:szCs w:val="22"/>
              </w:rPr>
            </w:pPr>
            <w:r w:rsidRPr="00090673">
              <w:rPr>
                <w:rFonts w:ascii="Arial" w:eastAsia="Cambria" w:hAnsi="Arial" w:cs="Arial"/>
                <w:b/>
                <w:bCs/>
                <w:spacing w:val="1"/>
                <w:sz w:val="22"/>
                <w:szCs w:val="22"/>
              </w:rPr>
              <w:t>Sustainability:</w:t>
            </w:r>
            <w:r w:rsidRPr="00090673">
              <w:rPr>
                <w:rFonts w:ascii="Arial" w:eastAsia="Cambria" w:hAnsi="Arial" w:cs="Arial"/>
                <w:spacing w:val="1"/>
                <w:sz w:val="22"/>
                <w:szCs w:val="22"/>
              </w:rPr>
              <w:t xml:space="preserve"> </w:t>
            </w:r>
            <w:r w:rsidR="007C5ECB" w:rsidRPr="00090673">
              <w:rPr>
                <w:rFonts w:ascii="Arial" w:eastAsia="Cambria" w:hAnsi="Arial" w:cs="Arial"/>
                <w:spacing w:val="1"/>
                <w:sz w:val="22"/>
                <w:szCs w:val="22"/>
              </w:rPr>
              <w:t>Likelihood of continued benefits through community ownership, municipal engagement, financing mechanisms, policy support, local capacity, and environmentally sustainable urban development practices.</w:t>
            </w:r>
          </w:p>
          <w:p w14:paraId="3BFE3CA9" w14:textId="3E045AB2" w:rsidR="00C035F8" w:rsidRPr="00090673" w:rsidRDefault="00C035F8" w:rsidP="00C035F8">
            <w:pPr>
              <w:rPr>
                <w:rFonts w:eastAsia="Cambria" w:cs="Arial"/>
                <w:color w:val="auto"/>
                <w:spacing w:val="1"/>
                <w:lang w:eastAsia="en-US"/>
              </w:rPr>
            </w:pPr>
            <w:r w:rsidRPr="00090673">
              <w:rPr>
                <w:rFonts w:eastAsia="Cambria" w:cs="Arial"/>
                <w:color w:val="auto"/>
                <w:spacing w:val="1"/>
                <w:lang w:eastAsia="en-US"/>
              </w:rPr>
              <w:t>The study will apply mixed-method approaches, including desk review, household surveys, focus group discussions (FGDs), key informant interviews (KIIs), stakeholder consultations, field observations, and case studies. The assessment will engage community members, Community Development Committees (CDCs)/Community WASH Committees</w:t>
            </w:r>
            <w:r w:rsidR="00DF3897" w:rsidRPr="00090673">
              <w:rPr>
                <w:rFonts w:eastAsia="Cambria" w:cs="Arial"/>
                <w:color w:val="auto"/>
                <w:spacing w:val="1"/>
                <w:lang w:eastAsia="en-US"/>
              </w:rPr>
              <w:t xml:space="preserve"> (CWCs)</w:t>
            </w:r>
            <w:r w:rsidRPr="00090673">
              <w:rPr>
                <w:rFonts w:eastAsia="Cambria" w:cs="Arial"/>
                <w:color w:val="auto"/>
                <w:spacing w:val="1"/>
                <w:lang w:eastAsia="en-US"/>
              </w:rPr>
              <w:t>, local authorities, government agencies, private sector actors, financial institutions, volunteers, civil society organizations, and development partners.</w:t>
            </w:r>
          </w:p>
          <w:p w14:paraId="73271080" w14:textId="77777777" w:rsidR="00D807E3" w:rsidRPr="00090673" w:rsidRDefault="00D807E3" w:rsidP="00C035F8">
            <w:pPr>
              <w:rPr>
                <w:rFonts w:eastAsia="Cambria" w:cs="Arial"/>
                <w:color w:val="auto"/>
                <w:spacing w:val="1"/>
                <w:lang w:eastAsia="en-US"/>
              </w:rPr>
            </w:pPr>
          </w:p>
          <w:p w14:paraId="6D5A11A7" w14:textId="7E1470B7" w:rsidR="00442DB3" w:rsidRPr="00090673" w:rsidRDefault="00442DB3">
            <w:pPr>
              <w:pStyle w:val="ListParagraph"/>
              <w:numPr>
                <w:ilvl w:val="0"/>
                <w:numId w:val="6"/>
              </w:numPr>
              <w:rPr>
                <w:rFonts w:ascii="Arial" w:eastAsia="Cambria" w:hAnsi="Arial" w:cs="Arial"/>
                <w:b/>
                <w:bCs/>
                <w:spacing w:val="1"/>
              </w:rPr>
            </w:pPr>
            <w:r w:rsidRPr="00090673">
              <w:rPr>
                <w:rFonts w:ascii="Arial" w:eastAsia="Cambria" w:hAnsi="Arial" w:cs="Arial"/>
                <w:b/>
                <w:bCs/>
                <w:spacing w:val="1"/>
              </w:rPr>
              <w:t>Gap and Opportunity Analysis</w:t>
            </w:r>
          </w:p>
          <w:p w14:paraId="33642C14" w14:textId="77777777" w:rsidR="00442DB3" w:rsidRPr="00090673" w:rsidRDefault="00442DB3" w:rsidP="00442DB3">
            <w:pPr>
              <w:rPr>
                <w:rFonts w:eastAsia="Cambria" w:cs="Arial"/>
                <w:color w:val="auto"/>
                <w:spacing w:val="1"/>
                <w:lang w:eastAsia="en-US"/>
              </w:rPr>
            </w:pPr>
            <w:r w:rsidRPr="00090673">
              <w:rPr>
                <w:rFonts w:eastAsia="Cambria" w:cs="Arial"/>
                <w:color w:val="auto"/>
                <w:spacing w:val="1"/>
                <w:lang w:eastAsia="en-US"/>
              </w:rPr>
              <w:t>The study will identify key operational, institutional, financial, governance, and policy gaps affecting inclusive and climate-resilient urban development in Bangladesh, particularly in informal settlements.</w:t>
            </w:r>
          </w:p>
          <w:p w14:paraId="24FBD136" w14:textId="77777777" w:rsidR="00442DB3" w:rsidRPr="00090673" w:rsidRDefault="00442DB3" w:rsidP="00442DB3">
            <w:pPr>
              <w:rPr>
                <w:rFonts w:eastAsia="Cambria" w:cs="Arial"/>
                <w:color w:val="auto"/>
                <w:spacing w:val="1"/>
                <w:lang w:eastAsia="en-US"/>
              </w:rPr>
            </w:pPr>
            <w:r w:rsidRPr="00090673">
              <w:rPr>
                <w:rFonts w:eastAsia="Cambria" w:cs="Arial"/>
                <w:color w:val="auto"/>
                <w:spacing w:val="1"/>
                <w:lang w:eastAsia="en-US"/>
              </w:rPr>
              <w:t>The analysis will explore:</w:t>
            </w:r>
          </w:p>
          <w:p w14:paraId="1B52EEF4" w14:textId="77777777" w:rsidR="00FC46FB" w:rsidRPr="00090673" w:rsidRDefault="00442DB3">
            <w:pPr>
              <w:pStyle w:val="ListParagraph"/>
              <w:numPr>
                <w:ilvl w:val="0"/>
                <w:numId w:val="7"/>
              </w:numPr>
              <w:rPr>
                <w:rFonts w:ascii="Arial" w:eastAsia="Cambria" w:hAnsi="Arial" w:cs="Arial"/>
                <w:spacing w:val="1"/>
                <w:sz w:val="22"/>
                <w:szCs w:val="22"/>
              </w:rPr>
            </w:pPr>
            <w:r w:rsidRPr="00090673">
              <w:rPr>
                <w:rFonts w:ascii="Arial" w:eastAsia="Cambria" w:hAnsi="Arial" w:cs="Arial"/>
                <w:spacing w:val="1"/>
                <w:sz w:val="22"/>
                <w:szCs w:val="22"/>
              </w:rPr>
              <w:t xml:space="preserve">Gaps in housing, WASH, drainage, and disaster resilience services; </w:t>
            </w:r>
          </w:p>
          <w:p w14:paraId="47DDB72C" w14:textId="77777777" w:rsidR="00FC46FB" w:rsidRPr="00090673" w:rsidRDefault="00442DB3">
            <w:pPr>
              <w:pStyle w:val="ListParagraph"/>
              <w:numPr>
                <w:ilvl w:val="0"/>
                <w:numId w:val="7"/>
              </w:numPr>
              <w:rPr>
                <w:rFonts w:ascii="Arial" w:eastAsia="Cambria" w:hAnsi="Arial" w:cs="Arial"/>
                <w:spacing w:val="1"/>
                <w:sz w:val="22"/>
                <w:szCs w:val="22"/>
              </w:rPr>
            </w:pPr>
            <w:r w:rsidRPr="00090673">
              <w:rPr>
                <w:rFonts w:ascii="Arial" w:eastAsia="Cambria" w:hAnsi="Arial" w:cs="Arial"/>
                <w:spacing w:val="1"/>
                <w:sz w:val="22"/>
                <w:szCs w:val="22"/>
              </w:rPr>
              <w:t xml:space="preserve">Barriers related to tenure security, municipal integration, and financing; </w:t>
            </w:r>
          </w:p>
          <w:p w14:paraId="696EB87C" w14:textId="77777777" w:rsidR="00FC46FB" w:rsidRPr="00090673" w:rsidRDefault="00442DB3">
            <w:pPr>
              <w:pStyle w:val="ListParagraph"/>
              <w:numPr>
                <w:ilvl w:val="0"/>
                <w:numId w:val="7"/>
              </w:numPr>
              <w:rPr>
                <w:rFonts w:ascii="Arial" w:eastAsia="Cambria" w:hAnsi="Arial" w:cs="Arial"/>
                <w:spacing w:val="1"/>
                <w:sz w:val="22"/>
                <w:szCs w:val="22"/>
              </w:rPr>
            </w:pPr>
            <w:r w:rsidRPr="00090673">
              <w:rPr>
                <w:rFonts w:ascii="Arial" w:eastAsia="Cambria" w:hAnsi="Arial" w:cs="Arial"/>
                <w:spacing w:val="1"/>
                <w:sz w:val="22"/>
                <w:szCs w:val="22"/>
              </w:rPr>
              <w:t xml:space="preserve">Weaknesses in community participation and inclusive governance systems; </w:t>
            </w:r>
          </w:p>
          <w:p w14:paraId="7DA108DE" w14:textId="77777777" w:rsidR="00FC46FB" w:rsidRPr="00090673" w:rsidRDefault="00442DB3">
            <w:pPr>
              <w:pStyle w:val="ListParagraph"/>
              <w:numPr>
                <w:ilvl w:val="0"/>
                <w:numId w:val="7"/>
              </w:numPr>
              <w:rPr>
                <w:rFonts w:ascii="Arial" w:eastAsia="Cambria" w:hAnsi="Arial" w:cs="Arial"/>
                <w:spacing w:val="1"/>
                <w:sz w:val="22"/>
                <w:szCs w:val="22"/>
              </w:rPr>
            </w:pPr>
            <w:r w:rsidRPr="00090673">
              <w:rPr>
                <w:rFonts w:ascii="Arial" w:eastAsia="Cambria" w:hAnsi="Arial" w:cs="Arial"/>
                <w:spacing w:val="1"/>
                <w:sz w:val="22"/>
                <w:szCs w:val="22"/>
              </w:rPr>
              <w:t>Institutional and policy limitations affecting slum upgrading and service delivery;</w:t>
            </w:r>
          </w:p>
          <w:p w14:paraId="77DDC5A0" w14:textId="0F1A43A0" w:rsidR="00442DB3" w:rsidRPr="00090673" w:rsidRDefault="00442DB3">
            <w:pPr>
              <w:pStyle w:val="ListParagraph"/>
              <w:numPr>
                <w:ilvl w:val="0"/>
                <w:numId w:val="7"/>
              </w:numPr>
              <w:rPr>
                <w:rFonts w:ascii="Arial" w:eastAsia="Cambria" w:hAnsi="Arial" w:cs="Arial"/>
                <w:spacing w:val="1"/>
                <w:sz w:val="22"/>
                <w:szCs w:val="22"/>
              </w:rPr>
            </w:pPr>
            <w:r w:rsidRPr="00090673">
              <w:rPr>
                <w:rFonts w:ascii="Arial" w:eastAsia="Cambria" w:hAnsi="Arial" w:cs="Arial"/>
                <w:spacing w:val="1"/>
                <w:sz w:val="22"/>
                <w:szCs w:val="22"/>
              </w:rPr>
              <w:t xml:space="preserve">Emerging opportunities for partnerships, systems strengthening, advocacy, financing, and scale-up. </w:t>
            </w:r>
          </w:p>
          <w:p w14:paraId="11F379F2" w14:textId="77777777" w:rsidR="00442DB3" w:rsidRPr="00090673" w:rsidRDefault="00442DB3" w:rsidP="00442DB3">
            <w:pPr>
              <w:rPr>
                <w:rFonts w:eastAsia="Cambria" w:cs="Arial"/>
                <w:color w:val="auto"/>
                <w:spacing w:val="1"/>
                <w:lang w:eastAsia="en-US"/>
              </w:rPr>
            </w:pPr>
            <w:r w:rsidRPr="00090673">
              <w:rPr>
                <w:rFonts w:eastAsia="Cambria" w:cs="Arial"/>
                <w:color w:val="auto"/>
                <w:spacing w:val="1"/>
                <w:lang w:eastAsia="en-US"/>
              </w:rPr>
              <w:lastRenderedPageBreak/>
              <w:t>This component will involve extensive stakeholder engagement and consultation with relevant actors, including:</w:t>
            </w:r>
          </w:p>
          <w:p w14:paraId="45AA2B2A" w14:textId="77777777" w:rsidR="00F970C9" w:rsidRPr="00090673" w:rsidRDefault="00442DB3">
            <w:pPr>
              <w:pStyle w:val="ListParagraph"/>
              <w:numPr>
                <w:ilvl w:val="0"/>
                <w:numId w:val="8"/>
              </w:numPr>
              <w:rPr>
                <w:rFonts w:ascii="Arial" w:eastAsia="Cambria" w:hAnsi="Arial" w:cs="Arial"/>
                <w:spacing w:val="1"/>
                <w:sz w:val="22"/>
                <w:szCs w:val="22"/>
              </w:rPr>
            </w:pPr>
            <w:r w:rsidRPr="00090673">
              <w:rPr>
                <w:rFonts w:ascii="Arial" w:eastAsia="Cambria" w:hAnsi="Arial" w:cs="Arial"/>
                <w:spacing w:val="1"/>
                <w:sz w:val="22"/>
                <w:szCs w:val="22"/>
              </w:rPr>
              <w:t xml:space="preserve">Municipalities and City Corporations; </w:t>
            </w:r>
          </w:p>
          <w:p w14:paraId="6BA5C48C" w14:textId="77777777" w:rsidR="00F970C9" w:rsidRPr="00090673" w:rsidRDefault="00442DB3">
            <w:pPr>
              <w:pStyle w:val="ListParagraph"/>
              <w:numPr>
                <w:ilvl w:val="0"/>
                <w:numId w:val="8"/>
              </w:numPr>
              <w:rPr>
                <w:rFonts w:ascii="Arial" w:eastAsia="Cambria" w:hAnsi="Arial" w:cs="Arial"/>
                <w:spacing w:val="1"/>
                <w:sz w:val="22"/>
                <w:szCs w:val="22"/>
              </w:rPr>
            </w:pPr>
            <w:r w:rsidRPr="00090673">
              <w:rPr>
                <w:rFonts w:ascii="Arial" w:eastAsia="Cambria" w:hAnsi="Arial" w:cs="Arial"/>
                <w:spacing w:val="1"/>
                <w:sz w:val="22"/>
                <w:szCs w:val="22"/>
              </w:rPr>
              <w:t xml:space="preserve">Dhaka Water Supply and Sewerage Authority (WASA); </w:t>
            </w:r>
          </w:p>
          <w:p w14:paraId="2E61F726" w14:textId="77777777" w:rsidR="00F970C9" w:rsidRPr="00090673" w:rsidRDefault="00442DB3">
            <w:pPr>
              <w:pStyle w:val="ListParagraph"/>
              <w:numPr>
                <w:ilvl w:val="0"/>
                <w:numId w:val="8"/>
              </w:numPr>
              <w:rPr>
                <w:rFonts w:ascii="Arial" w:eastAsia="Cambria" w:hAnsi="Arial" w:cs="Arial"/>
                <w:spacing w:val="1"/>
                <w:sz w:val="22"/>
                <w:szCs w:val="22"/>
              </w:rPr>
            </w:pPr>
            <w:r w:rsidRPr="00090673">
              <w:rPr>
                <w:rFonts w:ascii="Arial" w:eastAsia="Cambria" w:hAnsi="Arial" w:cs="Arial"/>
                <w:spacing w:val="1"/>
                <w:sz w:val="22"/>
                <w:szCs w:val="22"/>
              </w:rPr>
              <w:t xml:space="preserve">Department of Public Health Engineering (DPHE); </w:t>
            </w:r>
          </w:p>
          <w:p w14:paraId="44BBD7A1" w14:textId="77777777" w:rsidR="00F970C9" w:rsidRPr="00090673" w:rsidRDefault="00442DB3">
            <w:pPr>
              <w:pStyle w:val="ListParagraph"/>
              <w:numPr>
                <w:ilvl w:val="0"/>
                <w:numId w:val="8"/>
              </w:numPr>
              <w:rPr>
                <w:rFonts w:ascii="Arial" w:eastAsia="Cambria" w:hAnsi="Arial" w:cs="Arial"/>
                <w:spacing w:val="1"/>
                <w:sz w:val="22"/>
                <w:szCs w:val="22"/>
              </w:rPr>
            </w:pPr>
            <w:r w:rsidRPr="00090673">
              <w:rPr>
                <w:rFonts w:ascii="Arial" w:eastAsia="Cambria" w:hAnsi="Arial" w:cs="Arial"/>
                <w:spacing w:val="1"/>
                <w:sz w:val="22"/>
                <w:szCs w:val="22"/>
              </w:rPr>
              <w:t>Government ministries and urban authorities;</w:t>
            </w:r>
          </w:p>
          <w:p w14:paraId="776975BF" w14:textId="77777777" w:rsidR="00F970C9" w:rsidRPr="00090673" w:rsidRDefault="00442DB3">
            <w:pPr>
              <w:pStyle w:val="ListParagraph"/>
              <w:numPr>
                <w:ilvl w:val="0"/>
                <w:numId w:val="8"/>
              </w:numPr>
              <w:rPr>
                <w:rFonts w:ascii="Arial" w:eastAsia="Cambria" w:hAnsi="Arial" w:cs="Arial"/>
                <w:spacing w:val="1"/>
                <w:sz w:val="22"/>
                <w:szCs w:val="22"/>
              </w:rPr>
            </w:pPr>
            <w:r w:rsidRPr="00090673">
              <w:rPr>
                <w:rFonts w:ascii="Arial" w:eastAsia="Cambria" w:hAnsi="Arial" w:cs="Arial"/>
                <w:spacing w:val="1"/>
                <w:sz w:val="22"/>
                <w:szCs w:val="22"/>
              </w:rPr>
              <w:t xml:space="preserve">Development partners and donors; </w:t>
            </w:r>
          </w:p>
          <w:p w14:paraId="107B41A3" w14:textId="77777777" w:rsidR="00F970C9" w:rsidRPr="00090673" w:rsidRDefault="00442DB3">
            <w:pPr>
              <w:pStyle w:val="ListParagraph"/>
              <w:numPr>
                <w:ilvl w:val="0"/>
                <w:numId w:val="8"/>
              </w:numPr>
              <w:rPr>
                <w:rFonts w:ascii="Arial" w:eastAsia="Cambria" w:hAnsi="Arial" w:cs="Arial"/>
                <w:spacing w:val="1"/>
                <w:sz w:val="22"/>
                <w:szCs w:val="22"/>
              </w:rPr>
            </w:pPr>
            <w:r w:rsidRPr="00090673">
              <w:rPr>
                <w:rFonts w:ascii="Arial" w:eastAsia="Cambria" w:hAnsi="Arial" w:cs="Arial"/>
                <w:spacing w:val="1"/>
                <w:sz w:val="22"/>
                <w:szCs w:val="22"/>
              </w:rPr>
              <w:t xml:space="preserve">NGOs and civil society organizations working in urban development and resilience, including BRAC, World Vision, and other relevant organizations; </w:t>
            </w:r>
          </w:p>
          <w:p w14:paraId="6EBDC598" w14:textId="77777777" w:rsidR="00F970C9" w:rsidRPr="00090673" w:rsidRDefault="00442DB3">
            <w:pPr>
              <w:pStyle w:val="ListParagraph"/>
              <w:numPr>
                <w:ilvl w:val="0"/>
                <w:numId w:val="8"/>
              </w:numPr>
              <w:rPr>
                <w:rFonts w:ascii="Arial" w:eastAsia="Cambria" w:hAnsi="Arial" w:cs="Arial"/>
                <w:spacing w:val="1"/>
                <w:sz w:val="22"/>
                <w:szCs w:val="22"/>
              </w:rPr>
            </w:pPr>
            <w:r w:rsidRPr="00090673">
              <w:rPr>
                <w:rFonts w:ascii="Arial" w:eastAsia="Cambria" w:hAnsi="Arial" w:cs="Arial"/>
                <w:spacing w:val="1"/>
                <w:sz w:val="22"/>
                <w:szCs w:val="22"/>
              </w:rPr>
              <w:t xml:space="preserve">Private sector and financial service providers; </w:t>
            </w:r>
          </w:p>
          <w:p w14:paraId="08D7B015" w14:textId="05F3A2EB" w:rsidR="00442DB3" w:rsidRPr="00090673" w:rsidRDefault="00442DB3">
            <w:pPr>
              <w:pStyle w:val="ListParagraph"/>
              <w:numPr>
                <w:ilvl w:val="0"/>
                <w:numId w:val="8"/>
              </w:numPr>
              <w:rPr>
                <w:rFonts w:ascii="Arial" w:eastAsia="Cambria" w:hAnsi="Arial" w:cs="Arial"/>
                <w:spacing w:val="1"/>
                <w:sz w:val="22"/>
                <w:szCs w:val="22"/>
              </w:rPr>
            </w:pPr>
            <w:r w:rsidRPr="00090673">
              <w:rPr>
                <w:rFonts w:ascii="Arial" w:eastAsia="Cambria" w:hAnsi="Arial" w:cs="Arial"/>
                <w:spacing w:val="1"/>
                <w:sz w:val="22"/>
                <w:szCs w:val="22"/>
              </w:rPr>
              <w:t xml:space="preserve">Community representatives and volunteer networks. </w:t>
            </w:r>
          </w:p>
          <w:p w14:paraId="558AD431" w14:textId="77777777" w:rsidR="00442DB3" w:rsidRPr="00090673" w:rsidRDefault="00442DB3" w:rsidP="00442DB3">
            <w:pPr>
              <w:rPr>
                <w:rFonts w:eastAsia="Cambria" w:cs="Arial"/>
                <w:color w:val="auto"/>
                <w:spacing w:val="1"/>
                <w:lang w:eastAsia="en-US"/>
              </w:rPr>
            </w:pPr>
            <w:r w:rsidRPr="00090673">
              <w:rPr>
                <w:rFonts w:eastAsia="Cambria" w:cs="Arial"/>
                <w:color w:val="auto"/>
                <w:spacing w:val="1"/>
                <w:lang w:eastAsia="en-US"/>
              </w:rPr>
              <w:t xml:space="preserve">Stakeholder consultations may be conducted through Key Informant Interviews (KIIs), multi-stakeholder workshops, consultation meetings, and validation sessions. </w:t>
            </w:r>
            <w:proofErr w:type="gramStart"/>
            <w:r w:rsidRPr="00090673">
              <w:rPr>
                <w:rFonts w:eastAsia="Cambria" w:cs="Arial"/>
                <w:color w:val="auto"/>
                <w:spacing w:val="1"/>
                <w:lang w:eastAsia="en-US"/>
              </w:rPr>
              <w:t>Particular emphasis</w:t>
            </w:r>
            <w:proofErr w:type="gramEnd"/>
            <w:r w:rsidRPr="00090673">
              <w:rPr>
                <w:rFonts w:eastAsia="Cambria" w:cs="Arial"/>
                <w:color w:val="auto"/>
                <w:spacing w:val="1"/>
                <w:lang w:eastAsia="en-US"/>
              </w:rPr>
              <w:t xml:space="preserve"> should be placed on workshop-based consultations to facilitate collective analysis, stakeholder mapping, identification of collaboration opportunities, and validation of findings and recommendations.</w:t>
            </w:r>
          </w:p>
          <w:p w14:paraId="49FB4F57" w14:textId="3396A9DB" w:rsidR="00442DB3" w:rsidRPr="00090673" w:rsidRDefault="00442DB3">
            <w:pPr>
              <w:pStyle w:val="ListParagraph"/>
              <w:numPr>
                <w:ilvl w:val="0"/>
                <w:numId w:val="6"/>
              </w:numPr>
              <w:rPr>
                <w:rFonts w:ascii="Arial" w:eastAsia="Cambria" w:hAnsi="Arial" w:cs="Arial"/>
                <w:b/>
                <w:bCs/>
                <w:spacing w:val="1"/>
              </w:rPr>
            </w:pPr>
            <w:r w:rsidRPr="00090673">
              <w:rPr>
                <w:rFonts w:ascii="Arial" w:eastAsia="Cambria" w:hAnsi="Arial" w:cs="Arial"/>
                <w:b/>
                <w:bCs/>
                <w:spacing w:val="1"/>
              </w:rPr>
              <w:t>Development of an Expanded Urban Programming Framework</w:t>
            </w:r>
          </w:p>
          <w:p w14:paraId="491F99E4" w14:textId="77777777" w:rsidR="00442DB3" w:rsidRPr="00090673" w:rsidRDefault="00442DB3" w:rsidP="00442DB3">
            <w:pPr>
              <w:rPr>
                <w:rFonts w:eastAsia="Cambria" w:cs="Arial"/>
                <w:color w:val="auto"/>
                <w:spacing w:val="1"/>
                <w:lang w:eastAsia="en-US"/>
              </w:rPr>
            </w:pPr>
            <w:r w:rsidRPr="00090673">
              <w:rPr>
                <w:rFonts w:eastAsia="Cambria" w:cs="Arial"/>
                <w:color w:val="auto"/>
                <w:spacing w:val="1"/>
                <w:lang w:eastAsia="en-US"/>
              </w:rPr>
              <w:t>Based on the findings of the impact study and gap analysis, the consultant/team will develop an expanded urban programming framework for HFHB to guide future urban programming and strategic positioning.</w:t>
            </w:r>
          </w:p>
          <w:p w14:paraId="11E6C6CE" w14:textId="77777777" w:rsidR="006E0D06" w:rsidRPr="00090673" w:rsidRDefault="00442DB3" w:rsidP="006E0D06">
            <w:pPr>
              <w:rPr>
                <w:rFonts w:eastAsia="Cambria" w:cs="Arial"/>
                <w:color w:val="auto"/>
                <w:spacing w:val="1"/>
                <w:lang w:eastAsia="en-US"/>
              </w:rPr>
            </w:pPr>
            <w:r w:rsidRPr="00090673">
              <w:rPr>
                <w:rFonts w:eastAsia="Cambria" w:cs="Arial"/>
                <w:color w:val="auto"/>
                <w:spacing w:val="1"/>
                <w:lang w:eastAsia="en-US"/>
              </w:rPr>
              <w:t>The framework should:</w:t>
            </w:r>
          </w:p>
          <w:p w14:paraId="36D431F9" w14:textId="77777777" w:rsidR="006E0D06" w:rsidRPr="00090673" w:rsidRDefault="00442DB3">
            <w:pPr>
              <w:pStyle w:val="ListParagraph"/>
              <w:numPr>
                <w:ilvl w:val="0"/>
                <w:numId w:val="9"/>
              </w:numPr>
              <w:rPr>
                <w:rFonts w:ascii="Arial" w:eastAsia="Cambria" w:hAnsi="Arial" w:cs="Arial"/>
                <w:spacing w:val="1"/>
                <w:sz w:val="22"/>
                <w:szCs w:val="22"/>
              </w:rPr>
            </w:pPr>
            <w:r w:rsidRPr="00090673">
              <w:rPr>
                <w:rFonts w:ascii="Arial" w:eastAsia="Cambria" w:hAnsi="Arial" w:cs="Arial"/>
                <w:spacing w:val="1"/>
                <w:sz w:val="22"/>
                <w:szCs w:val="22"/>
              </w:rPr>
              <w:t xml:space="preserve">Define strategic priorities and thematic focus areas; </w:t>
            </w:r>
          </w:p>
          <w:p w14:paraId="5D337475" w14:textId="77777777" w:rsidR="006E0D06" w:rsidRPr="00090673" w:rsidRDefault="00442DB3">
            <w:pPr>
              <w:pStyle w:val="ListParagraph"/>
              <w:numPr>
                <w:ilvl w:val="0"/>
                <w:numId w:val="9"/>
              </w:numPr>
              <w:rPr>
                <w:rFonts w:ascii="Arial" w:eastAsia="Cambria" w:hAnsi="Arial" w:cs="Arial"/>
                <w:spacing w:val="1"/>
                <w:sz w:val="22"/>
                <w:szCs w:val="22"/>
              </w:rPr>
            </w:pPr>
            <w:r w:rsidRPr="00090673">
              <w:rPr>
                <w:rFonts w:ascii="Arial" w:eastAsia="Cambria" w:hAnsi="Arial" w:cs="Arial"/>
                <w:spacing w:val="1"/>
                <w:sz w:val="22"/>
                <w:szCs w:val="22"/>
              </w:rPr>
              <w:t xml:space="preserve">Identify scalable and replicable program models; </w:t>
            </w:r>
          </w:p>
          <w:p w14:paraId="27E5C70D" w14:textId="77777777" w:rsidR="006E0D06" w:rsidRPr="00090673" w:rsidRDefault="00442DB3">
            <w:pPr>
              <w:pStyle w:val="ListParagraph"/>
              <w:numPr>
                <w:ilvl w:val="0"/>
                <w:numId w:val="9"/>
              </w:numPr>
              <w:rPr>
                <w:rFonts w:ascii="Arial" w:eastAsia="Cambria" w:hAnsi="Arial" w:cs="Arial"/>
                <w:spacing w:val="1"/>
                <w:sz w:val="22"/>
                <w:szCs w:val="22"/>
              </w:rPr>
            </w:pPr>
            <w:r w:rsidRPr="00090673">
              <w:rPr>
                <w:rFonts w:ascii="Arial" w:eastAsia="Cambria" w:hAnsi="Arial" w:cs="Arial"/>
                <w:spacing w:val="1"/>
                <w:sz w:val="22"/>
                <w:szCs w:val="22"/>
              </w:rPr>
              <w:t xml:space="preserve">Recommend systems-change and policy advocacy approaches; </w:t>
            </w:r>
          </w:p>
          <w:p w14:paraId="30D57C63" w14:textId="77777777" w:rsidR="006E0D06" w:rsidRPr="00090673" w:rsidRDefault="00442DB3">
            <w:pPr>
              <w:pStyle w:val="ListParagraph"/>
              <w:numPr>
                <w:ilvl w:val="0"/>
                <w:numId w:val="9"/>
              </w:numPr>
              <w:rPr>
                <w:rFonts w:ascii="Arial" w:eastAsia="Cambria" w:hAnsi="Arial" w:cs="Arial"/>
                <w:spacing w:val="1"/>
                <w:sz w:val="22"/>
                <w:szCs w:val="22"/>
              </w:rPr>
            </w:pPr>
            <w:r w:rsidRPr="00090673">
              <w:rPr>
                <w:rFonts w:ascii="Arial" w:eastAsia="Cambria" w:hAnsi="Arial" w:cs="Arial"/>
                <w:spacing w:val="1"/>
                <w:sz w:val="22"/>
                <w:szCs w:val="22"/>
              </w:rPr>
              <w:t xml:space="preserve">Outline partnership and coordination mechanisms with government, private sector, donors, and civil society; </w:t>
            </w:r>
          </w:p>
          <w:p w14:paraId="4C96BF7D" w14:textId="77777777" w:rsidR="006E0D06" w:rsidRPr="00090673" w:rsidRDefault="00442DB3">
            <w:pPr>
              <w:pStyle w:val="ListParagraph"/>
              <w:numPr>
                <w:ilvl w:val="0"/>
                <w:numId w:val="9"/>
              </w:numPr>
              <w:rPr>
                <w:rFonts w:ascii="Arial" w:eastAsia="Cambria" w:hAnsi="Arial" w:cs="Arial"/>
                <w:spacing w:val="1"/>
                <w:sz w:val="22"/>
                <w:szCs w:val="22"/>
              </w:rPr>
            </w:pPr>
            <w:r w:rsidRPr="00090673">
              <w:rPr>
                <w:rFonts w:ascii="Arial" w:eastAsia="Cambria" w:hAnsi="Arial" w:cs="Arial"/>
                <w:spacing w:val="1"/>
                <w:sz w:val="22"/>
                <w:szCs w:val="22"/>
              </w:rPr>
              <w:t xml:space="preserve">Identify financing and resource mobilization opportunities; </w:t>
            </w:r>
          </w:p>
          <w:p w14:paraId="03653782" w14:textId="77777777" w:rsidR="006E0D06" w:rsidRPr="00090673" w:rsidRDefault="00442DB3">
            <w:pPr>
              <w:pStyle w:val="ListParagraph"/>
              <w:numPr>
                <w:ilvl w:val="0"/>
                <w:numId w:val="9"/>
              </w:numPr>
              <w:rPr>
                <w:rFonts w:ascii="Arial" w:eastAsia="Cambria" w:hAnsi="Arial" w:cs="Arial"/>
                <w:spacing w:val="1"/>
                <w:sz w:val="22"/>
                <w:szCs w:val="22"/>
              </w:rPr>
            </w:pPr>
            <w:proofErr w:type="gramStart"/>
            <w:r w:rsidRPr="00090673">
              <w:rPr>
                <w:rFonts w:ascii="Arial" w:eastAsia="Cambria" w:hAnsi="Arial" w:cs="Arial"/>
                <w:spacing w:val="1"/>
                <w:sz w:val="22"/>
                <w:szCs w:val="22"/>
              </w:rPr>
              <w:t>Strengthen</w:t>
            </w:r>
            <w:proofErr w:type="gramEnd"/>
            <w:r w:rsidRPr="00090673">
              <w:rPr>
                <w:rFonts w:ascii="Arial" w:eastAsia="Cambria" w:hAnsi="Arial" w:cs="Arial"/>
                <w:spacing w:val="1"/>
                <w:sz w:val="22"/>
                <w:szCs w:val="22"/>
              </w:rPr>
              <w:t xml:space="preserve"> approaches for gender equality, disability inclusion, climate resilience, and community-led governance; </w:t>
            </w:r>
          </w:p>
          <w:p w14:paraId="22C5FBF4" w14:textId="77777777" w:rsidR="006E0D06" w:rsidRPr="00090673" w:rsidRDefault="00442DB3">
            <w:pPr>
              <w:pStyle w:val="ListParagraph"/>
              <w:numPr>
                <w:ilvl w:val="0"/>
                <w:numId w:val="9"/>
              </w:numPr>
              <w:rPr>
                <w:rFonts w:ascii="Arial" w:eastAsia="Cambria" w:hAnsi="Arial" w:cs="Arial"/>
                <w:spacing w:val="1"/>
                <w:sz w:val="22"/>
                <w:szCs w:val="22"/>
              </w:rPr>
            </w:pPr>
            <w:r w:rsidRPr="00090673">
              <w:rPr>
                <w:rFonts w:ascii="Arial" w:eastAsia="Cambria" w:hAnsi="Arial" w:cs="Arial"/>
                <w:spacing w:val="1"/>
                <w:sz w:val="22"/>
                <w:szCs w:val="22"/>
              </w:rPr>
              <w:t xml:space="preserve">Recommend geographic expansion opportunities and implementation pathways; </w:t>
            </w:r>
          </w:p>
          <w:p w14:paraId="3209A21A" w14:textId="0DE845AF" w:rsidR="00442DB3" w:rsidRPr="00090673" w:rsidRDefault="00442DB3">
            <w:pPr>
              <w:pStyle w:val="ListParagraph"/>
              <w:numPr>
                <w:ilvl w:val="0"/>
                <w:numId w:val="9"/>
              </w:numPr>
              <w:rPr>
                <w:rFonts w:ascii="Arial" w:eastAsia="Cambria" w:hAnsi="Arial" w:cs="Arial"/>
                <w:spacing w:val="1"/>
                <w:sz w:val="22"/>
                <w:szCs w:val="22"/>
              </w:rPr>
            </w:pPr>
            <w:r w:rsidRPr="00090673">
              <w:rPr>
                <w:rFonts w:ascii="Arial" w:eastAsia="Cambria" w:hAnsi="Arial" w:cs="Arial"/>
                <w:spacing w:val="1"/>
                <w:sz w:val="22"/>
                <w:szCs w:val="22"/>
              </w:rPr>
              <w:t xml:space="preserve">Align with national urban policies and global frameworks including SDG 11, the Sendai Framework, and the Paris Agreement. </w:t>
            </w:r>
          </w:p>
          <w:p w14:paraId="369C8415" w14:textId="45FDD7F8" w:rsidR="00442DB3" w:rsidRPr="00090673" w:rsidRDefault="00442DB3" w:rsidP="00442DB3">
            <w:pPr>
              <w:rPr>
                <w:rFonts w:eastAsia="Cambria" w:cs="Arial"/>
                <w:color w:val="auto"/>
                <w:spacing w:val="1"/>
                <w:lang w:eastAsia="en-US"/>
              </w:rPr>
            </w:pPr>
            <w:r w:rsidRPr="00090673">
              <w:rPr>
                <w:rFonts w:eastAsia="Cambria" w:cs="Arial"/>
                <w:color w:val="auto"/>
                <w:spacing w:val="1"/>
                <w:lang w:eastAsia="en-US"/>
              </w:rPr>
              <w:t>The framework should provide practical and evidence-based recommendations to strengthen HFH</w:t>
            </w:r>
            <w:r w:rsidR="006E0D06" w:rsidRPr="00090673">
              <w:rPr>
                <w:rFonts w:eastAsia="Cambria" w:cs="Arial"/>
                <w:color w:val="auto"/>
                <w:spacing w:val="1"/>
                <w:lang w:eastAsia="en-US"/>
              </w:rPr>
              <w:t>I-</w:t>
            </w:r>
            <w:r w:rsidRPr="00090673">
              <w:rPr>
                <w:rFonts w:eastAsia="Cambria" w:cs="Arial"/>
                <w:color w:val="auto"/>
                <w:spacing w:val="1"/>
                <w:lang w:eastAsia="en-US"/>
              </w:rPr>
              <w:t>B’s role in promoting inclusive, climate-resilient, and sustainable urban development in Bangladesh.</w:t>
            </w:r>
          </w:p>
          <w:p w14:paraId="4738C8E0" w14:textId="66EA664E" w:rsidR="001D17AA" w:rsidRPr="00090673" w:rsidRDefault="00FE1ADF" w:rsidP="001E5564">
            <w:pPr>
              <w:rPr>
                <w:rFonts w:eastAsia="Calibri" w:cs="Arial"/>
                <w:b/>
                <w:bCs/>
                <w:i/>
              </w:rPr>
            </w:pPr>
            <w:r w:rsidRPr="00090673">
              <w:rPr>
                <w:rFonts w:eastAsia="Calibri" w:cs="Arial"/>
                <w:b/>
                <w:bCs/>
                <w:i/>
              </w:rPr>
              <w:t xml:space="preserve">(Note: </w:t>
            </w:r>
            <w:r w:rsidRPr="00090673">
              <w:rPr>
                <w:rFonts w:eastAsia="GulimChe" w:cs="Arial"/>
                <w:b/>
                <w:bCs/>
                <w:i/>
              </w:rPr>
              <w:t xml:space="preserve">'the overall scope </w:t>
            </w:r>
            <w:proofErr w:type="gramStart"/>
            <w:r w:rsidRPr="00090673">
              <w:rPr>
                <w:rFonts w:eastAsia="GulimChe" w:cs="Arial"/>
                <w:b/>
                <w:bCs/>
                <w:i/>
              </w:rPr>
              <w:t>or</w:t>
            </w:r>
            <w:proofErr w:type="gramEnd"/>
            <w:r w:rsidRPr="00090673">
              <w:rPr>
                <w:rFonts w:eastAsia="GulimChe" w:cs="Arial"/>
                <w:b/>
                <w:bCs/>
                <w:i/>
              </w:rPr>
              <w:t xml:space="preserve"> activities can be revised based on the field situation’)</w:t>
            </w:r>
          </w:p>
        </w:tc>
      </w:tr>
      <w:tr w:rsidR="000F68C2" w:rsidRPr="00090673" w14:paraId="590D9824" w14:textId="77777777" w:rsidTr="00FE1ADF">
        <w:tblPrEx>
          <w:jc w:val="left"/>
          <w:tblCellMar>
            <w:top w:w="29" w:type="dxa"/>
            <w:bottom w:w="29" w:type="dxa"/>
          </w:tblCellMar>
        </w:tblPrEx>
        <w:trPr>
          <w:trHeight w:val="332"/>
        </w:trPr>
        <w:tc>
          <w:tcPr>
            <w:tcW w:w="9305" w:type="dxa"/>
            <w:gridSpan w:val="2"/>
            <w:shd w:val="clear" w:color="auto" w:fill="E8E8E8" w:themeFill="background2"/>
          </w:tcPr>
          <w:p w14:paraId="3D113AE8" w14:textId="53A3B5BA" w:rsidR="000F68C2" w:rsidRPr="00090673" w:rsidRDefault="00816077" w:rsidP="00816077">
            <w:pPr>
              <w:numPr>
                <w:ilvl w:val="0"/>
                <w:numId w:val="1"/>
              </w:numPr>
              <w:ind w:left="720"/>
              <w:rPr>
                <w:rFonts w:cs="Arial"/>
                <w:b/>
                <w:bCs/>
                <w:color w:val="auto"/>
                <w:sz w:val="28"/>
                <w:szCs w:val="28"/>
                <w:lang w:eastAsia="en-US"/>
              </w:rPr>
            </w:pPr>
            <w:r w:rsidRPr="00090673">
              <w:rPr>
                <w:rFonts w:eastAsia="Calibri" w:cs="Arial"/>
                <w:b/>
                <w:bCs/>
                <w:iCs/>
              </w:rPr>
              <w:lastRenderedPageBreak/>
              <w:t>Key Study Questions</w:t>
            </w:r>
          </w:p>
        </w:tc>
      </w:tr>
      <w:tr w:rsidR="00816077" w:rsidRPr="00090673" w14:paraId="39427FE3" w14:textId="77777777" w:rsidTr="000F68C2">
        <w:tblPrEx>
          <w:jc w:val="left"/>
          <w:tblCellMar>
            <w:top w:w="29" w:type="dxa"/>
            <w:bottom w:w="29" w:type="dxa"/>
          </w:tblCellMar>
        </w:tblPrEx>
        <w:trPr>
          <w:trHeight w:val="530"/>
        </w:trPr>
        <w:tc>
          <w:tcPr>
            <w:tcW w:w="9305" w:type="dxa"/>
            <w:gridSpan w:val="2"/>
          </w:tcPr>
          <w:p w14:paraId="0B42B2EF" w14:textId="77777777" w:rsidR="00FE1ADF" w:rsidRPr="00090673" w:rsidRDefault="00FE1ADF">
            <w:pPr>
              <w:pStyle w:val="Heading3"/>
              <w:numPr>
                <w:ilvl w:val="0"/>
                <w:numId w:val="10"/>
              </w:numPr>
              <w:rPr>
                <w:rFonts w:ascii="Arial" w:hAnsi="Arial" w:cs="Arial"/>
                <w:b/>
                <w:bCs/>
                <w:color w:val="auto"/>
                <w:sz w:val="22"/>
                <w:szCs w:val="22"/>
              </w:rPr>
            </w:pPr>
            <w:r w:rsidRPr="00090673">
              <w:rPr>
                <w:rFonts w:ascii="Arial" w:hAnsi="Arial" w:cs="Arial"/>
                <w:b/>
                <w:bCs/>
                <w:color w:val="auto"/>
                <w:sz w:val="22"/>
                <w:szCs w:val="22"/>
              </w:rPr>
              <w:lastRenderedPageBreak/>
              <w:t>Relevance and Context Responsiveness</w:t>
            </w:r>
          </w:p>
          <w:p w14:paraId="18D72FBA"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To what extent is the urban program aligned with the needs, priorities, and vulnerabilities of informal settlement residents in Dhaka, Khulna, Satkhira, and adjacent urban areas? </w:t>
            </w:r>
          </w:p>
          <w:p w14:paraId="124EAF31"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How effectively has the program responded to the impacts of rapid urbanization, climate change, disaster risks, displacement, tenure insecurity, and socio-economic exclusion? </w:t>
            </w:r>
          </w:p>
          <w:p w14:paraId="6FA39C40"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To what extent are the program interventions appropriate for women, youth, persons with disabilities, climate migrants, tenants, and other marginalized populations? </w:t>
            </w:r>
          </w:p>
          <w:p w14:paraId="72AE3EF4" w14:textId="28A9A045"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How well does the program align with national urban development priorities and policies, including the National Housing Policy (2016), Urban Sector Policy (2014), 8th Five-Year Plan, and National Urban Policy (2025)? </w:t>
            </w:r>
          </w:p>
          <w:p w14:paraId="21B212A6" w14:textId="77777777" w:rsidR="00FE1ADF" w:rsidRPr="00090673" w:rsidRDefault="00FE1ADF">
            <w:pPr>
              <w:pStyle w:val="Heading3"/>
              <w:numPr>
                <w:ilvl w:val="0"/>
                <w:numId w:val="10"/>
              </w:numPr>
              <w:rPr>
                <w:rFonts w:ascii="Arial" w:hAnsi="Arial" w:cs="Arial"/>
                <w:b/>
                <w:bCs/>
                <w:color w:val="auto"/>
                <w:sz w:val="22"/>
                <w:szCs w:val="22"/>
              </w:rPr>
            </w:pPr>
            <w:r w:rsidRPr="00090673">
              <w:rPr>
                <w:rFonts w:ascii="Arial" w:hAnsi="Arial" w:cs="Arial"/>
                <w:b/>
                <w:bCs/>
                <w:color w:val="auto"/>
                <w:sz w:val="22"/>
                <w:szCs w:val="22"/>
              </w:rPr>
              <w:t>Effectiveness of Program Interventions</w:t>
            </w:r>
          </w:p>
          <w:p w14:paraId="47823575"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To what extent has the program achieved its intended objectives and outcomes related to:</w:t>
            </w:r>
          </w:p>
          <w:p w14:paraId="6949AA75" w14:textId="77777777" w:rsidR="00FE1ADF" w:rsidRPr="00090673" w:rsidRDefault="00FE1ADF">
            <w:pPr>
              <w:pStyle w:val="Heading3"/>
              <w:numPr>
                <w:ilvl w:val="0"/>
                <w:numId w:val="11"/>
              </w:numPr>
              <w:rPr>
                <w:rFonts w:ascii="Arial" w:hAnsi="Arial" w:cs="Arial"/>
                <w:color w:val="auto"/>
                <w:sz w:val="22"/>
                <w:szCs w:val="22"/>
              </w:rPr>
            </w:pPr>
            <w:r w:rsidRPr="00090673">
              <w:rPr>
                <w:rFonts w:ascii="Arial" w:hAnsi="Arial" w:cs="Arial"/>
                <w:color w:val="auto"/>
                <w:sz w:val="22"/>
                <w:szCs w:val="22"/>
              </w:rPr>
              <w:t xml:space="preserve">Climate-resilient housing repair and upgrading? </w:t>
            </w:r>
          </w:p>
          <w:p w14:paraId="4A1D4C5B" w14:textId="66EF0A6C" w:rsidR="00FE1ADF" w:rsidRPr="00090673" w:rsidRDefault="00FE1ADF">
            <w:pPr>
              <w:pStyle w:val="Heading3"/>
              <w:numPr>
                <w:ilvl w:val="0"/>
                <w:numId w:val="11"/>
              </w:numPr>
              <w:rPr>
                <w:rFonts w:ascii="Arial" w:hAnsi="Arial" w:cs="Arial"/>
                <w:color w:val="auto"/>
                <w:sz w:val="22"/>
                <w:szCs w:val="22"/>
              </w:rPr>
            </w:pPr>
            <w:r w:rsidRPr="00090673">
              <w:rPr>
                <w:rFonts w:ascii="Arial" w:hAnsi="Arial" w:cs="Arial"/>
                <w:color w:val="auto"/>
                <w:sz w:val="22"/>
                <w:szCs w:val="22"/>
              </w:rPr>
              <w:t xml:space="preserve">WASH and </w:t>
            </w:r>
            <w:r w:rsidR="00DB54CA">
              <w:rPr>
                <w:rFonts w:ascii="Arial" w:hAnsi="Arial" w:cs="Arial"/>
                <w:color w:val="auto"/>
                <w:sz w:val="22"/>
                <w:szCs w:val="22"/>
              </w:rPr>
              <w:t>system</w:t>
            </w:r>
            <w:r w:rsidRPr="00090673">
              <w:rPr>
                <w:rFonts w:ascii="Arial" w:hAnsi="Arial" w:cs="Arial"/>
                <w:color w:val="auto"/>
                <w:sz w:val="22"/>
                <w:szCs w:val="22"/>
              </w:rPr>
              <w:t xml:space="preserve"> improvements? </w:t>
            </w:r>
          </w:p>
          <w:p w14:paraId="61071094" w14:textId="77777777" w:rsidR="00FE1ADF" w:rsidRPr="00090673" w:rsidRDefault="00FE1ADF">
            <w:pPr>
              <w:pStyle w:val="Heading3"/>
              <w:numPr>
                <w:ilvl w:val="0"/>
                <w:numId w:val="11"/>
              </w:numPr>
              <w:rPr>
                <w:rFonts w:ascii="Arial" w:hAnsi="Arial" w:cs="Arial"/>
                <w:color w:val="auto"/>
                <w:sz w:val="22"/>
                <w:szCs w:val="22"/>
              </w:rPr>
            </w:pPr>
            <w:r w:rsidRPr="00090673">
              <w:rPr>
                <w:rFonts w:ascii="Arial" w:hAnsi="Arial" w:cs="Arial"/>
                <w:color w:val="auto"/>
                <w:sz w:val="22"/>
                <w:szCs w:val="22"/>
              </w:rPr>
              <w:t xml:space="preserve">Disaster risk reduction and resilience building? </w:t>
            </w:r>
          </w:p>
          <w:p w14:paraId="6713EF94" w14:textId="77777777" w:rsidR="00FE1ADF" w:rsidRPr="00090673" w:rsidRDefault="00FE1ADF">
            <w:pPr>
              <w:pStyle w:val="Heading3"/>
              <w:numPr>
                <w:ilvl w:val="0"/>
                <w:numId w:val="11"/>
              </w:numPr>
              <w:rPr>
                <w:rFonts w:ascii="Arial" w:hAnsi="Arial" w:cs="Arial"/>
                <w:color w:val="auto"/>
                <w:sz w:val="22"/>
                <w:szCs w:val="22"/>
              </w:rPr>
            </w:pPr>
            <w:r w:rsidRPr="00090673">
              <w:rPr>
                <w:rFonts w:ascii="Arial" w:hAnsi="Arial" w:cs="Arial"/>
                <w:color w:val="auto"/>
                <w:sz w:val="22"/>
                <w:szCs w:val="22"/>
              </w:rPr>
              <w:t xml:space="preserve">Livelihoods, skills development, and market linkages? </w:t>
            </w:r>
          </w:p>
          <w:p w14:paraId="02DAFD9A" w14:textId="77777777" w:rsidR="00FE1ADF" w:rsidRPr="00090673" w:rsidRDefault="00FE1ADF">
            <w:pPr>
              <w:pStyle w:val="Heading3"/>
              <w:numPr>
                <w:ilvl w:val="0"/>
                <w:numId w:val="11"/>
              </w:numPr>
              <w:rPr>
                <w:rFonts w:ascii="Arial" w:hAnsi="Arial" w:cs="Arial"/>
                <w:color w:val="auto"/>
                <w:sz w:val="22"/>
                <w:szCs w:val="22"/>
              </w:rPr>
            </w:pPr>
            <w:r w:rsidRPr="00090673">
              <w:rPr>
                <w:rFonts w:ascii="Arial" w:hAnsi="Arial" w:cs="Arial"/>
                <w:color w:val="auto"/>
                <w:sz w:val="22"/>
                <w:szCs w:val="22"/>
              </w:rPr>
              <w:t xml:space="preserve">Housing finance and incremental upgrading? </w:t>
            </w:r>
          </w:p>
          <w:p w14:paraId="263FA196" w14:textId="77777777" w:rsidR="00FE1ADF" w:rsidRPr="00090673" w:rsidRDefault="00FE1ADF">
            <w:pPr>
              <w:pStyle w:val="Heading3"/>
              <w:numPr>
                <w:ilvl w:val="0"/>
                <w:numId w:val="11"/>
              </w:numPr>
              <w:rPr>
                <w:rFonts w:ascii="Arial" w:hAnsi="Arial" w:cs="Arial"/>
                <w:color w:val="auto"/>
                <w:sz w:val="22"/>
                <w:szCs w:val="22"/>
              </w:rPr>
            </w:pPr>
            <w:r w:rsidRPr="00090673">
              <w:rPr>
                <w:rFonts w:ascii="Arial" w:hAnsi="Arial" w:cs="Arial"/>
                <w:color w:val="auto"/>
                <w:sz w:val="22"/>
                <w:szCs w:val="22"/>
              </w:rPr>
              <w:t xml:space="preserve">Community governance and civic participation? </w:t>
            </w:r>
          </w:p>
          <w:p w14:paraId="7226CA83" w14:textId="77777777" w:rsidR="00FE1ADF" w:rsidRPr="00090673" w:rsidRDefault="00FE1ADF">
            <w:pPr>
              <w:pStyle w:val="Heading3"/>
              <w:numPr>
                <w:ilvl w:val="0"/>
                <w:numId w:val="11"/>
              </w:numPr>
              <w:rPr>
                <w:rFonts w:ascii="Arial" w:hAnsi="Arial" w:cs="Arial"/>
                <w:color w:val="auto"/>
                <w:sz w:val="22"/>
                <w:szCs w:val="22"/>
              </w:rPr>
            </w:pPr>
            <w:r w:rsidRPr="00090673">
              <w:rPr>
                <w:rFonts w:ascii="Arial" w:hAnsi="Arial" w:cs="Arial"/>
                <w:color w:val="auto"/>
                <w:sz w:val="22"/>
                <w:szCs w:val="22"/>
              </w:rPr>
              <w:t xml:space="preserve">Gender equality, disability inclusion, and safeguarding? </w:t>
            </w:r>
          </w:p>
          <w:p w14:paraId="5533FE52"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How effective have community structures such as Community Development Committees (CDCs), Community WASH Committees (CWCs), and volunteer networks been in supporting program implementation and community ownership?</w:t>
            </w:r>
          </w:p>
          <w:p w14:paraId="46B07E02"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What factors contributed to or hindered the achievement of program results? </w:t>
            </w:r>
          </w:p>
          <w:p w14:paraId="7BDEF3FB" w14:textId="77777777" w:rsidR="00FE1ADF" w:rsidRPr="00090673" w:rsidRDefault="00FE1ADF">
            <w:pPr>
              <w:pStyle w:val="Heading3"/>
              <w:numPr>
                <w:ilvl w:val="0"/>
                <w:numId w:val="10"/>
              </w:numPr>
              <w:rPr>
                <w:rFonts w:ascii="Arial" w:hAnsi="Arial" w:cs="Arial"/>
                <w:b/>
                <w:bCs/>
                <w:color w:val="auto"/>
                <w:sz w:val="22"/>
                <w:szCs w:val="22"/>
              </w:rPr>
            </w:pPr>
            <w:r w:rsidRPr="00090673">
              <w:rPr>
                <w:rFonts w:ascii="Arial" w:hAnsi="Arial" w:cs="Arial"/>
                <w:b/>
                <w:bCs/>
                <w:color w:val="auto"/>
                <w:sz w:val="22"/>
                <w:szCs w:val="22"/>
              </w:rPr>
              <w:t>Impact and Outcomes</w:t>
            </w:r>
          </w:p>
          <w:p w14:paraId="3342DB8C"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What measurable changes have occurred in the living conditions, safety, resilience, and wellbeing of target households and communities </w:t>
            </w:r>
            <w:proofErr w:type="gramStart"/>
            <w:r w:rsidRPr="00090673">
              <w:rPr>
                <w:rFonts w:ascii="Arial" w:hAnsi="Arial" w:cs="Arial"/>
                <w:color w:val="auto"/>
                <w:sz w:val="22"/>
                <w:szCs w:val="22"/>
              </w:rPr>
              <w:t>as a result of</w:t>
            </w:r>
            <w:proofErr w:type="gramEnd"/>
            <w:r w:rsidRPr="00090673">
              <w:rPr>
                <w:rFonts w:ascii="Arial" w:hAnsi="Arial" w:cs="Arial"/>
                <w:color w:val="auto"/>
                <w:sz w:val="22"/>
                <w:szCs w:val="22"/>
              </w:rPr>
              <w:t xml:space="preserve"> the program? </w:t>
            </w:r>
          </w:p>
          <w:p w14:paraId="26ED4AF9"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To what extent has the program strengthened climate resilience and disaster preparedness among </w:t>
            </w:r>
            <w:proofErr w:type="gramStart"/>
            <w:r w:rsidRPr="00090673">
              <w:rPr>
                <w:rFonts w:ascii="Arial" w:hAnsi="Arial" w:cs="Arial"/>
                <w:color w:val="auto"/>
                <w:sz w:val="22"/>
                <w:szCs w:val="22"/>
              </w:rPr>
              <w:t>urban poor</w:t>
            </w:r>
            <w:proofErr w:type="gramEnd"/>
            <w:r w:rsidRPr="00090673">
              <w:rPr>
                <w:rFonts w:ascii="Arial" w:hAnsi="Arial" w:cs="Arial"/>
                <w:color w:val="auto"/>
                <w:sz w:val="22"/>
                <w:szCs w:val="22"/>
              </w:rPr>
              <w:t xml:space="preserve"> communities? </w:t>
            </w:r>
          </w:p>
          <w:p w14:paraId="78620660"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How has the program influenced access to improved housing, WASH services, drainage, and other essential urban services? </w:t>
            </w:r>
          </w:p>
          <w:p w14:paraId="639B7B7F"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To what extent has the program enhanced social inclusion, participation, leadership, and decision-making opportunities for women, youth, persons with disabilities, and marginalized groups? </w:t>
            </w:r>
          </w:p>
          <w:p w14:paraId="5EDDA342"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What unintended positive or negative effects have emerged from the program interventions? </w:t>
            </w:r>
          </w:p>
          <w:p w14:paraId="77CCF8EF"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To what extent have the program interventions contributed to environmentally sustainable urban development and climate mitigation?</w:t>
            </w:r>
          </w:p>
          <w:p w14:paraId="0D76E07D"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How have housing, WASH, drainage, and infrastructure interventions contributed to improved environmental conditions within informal settlements?</w:t>
            </w:r>
          </w:p>
          <w:p w14:paraId="248ED209"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To what extent have the interventions promoted resource-efficient, climate-resilient, and low-carbon practices at household and community levels?</w:t>
            </w:r>
          </w:p>
          <w:p w14:paraId="161C66B5"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Is there evidence that the program has contributed to reduction of environmental risks, pollution, energy use, or carbon emissions compared to previous practices or conditions?</w:t>
            </w:r>
          </w:p>
          <w:p w14:paraId="5A9CF383" w14:textId="77777777" w:rsidR="00FE1ADF" w:rsidRPr="00090673" w:rsidRDefault="00FE1ADF">
            <w:pPr>
              <w:pStyle w:val="Heading3"/>
              <w:numPr>
                <w:ilvl w:val="0"/>
                <w:numId w:val="10"/>
              </w:numPr>
              <w:rPr>
                <w:rFonts w:ascii="Arial" w:hAnsi="Arial" w:cs="Arial"/>
                <w:b/>
                <w:bCs/>
                <w:color w:val="auto"/>
                <w:sz w:val="22"/>
                <w:szCs w:val="22"/>
              </w:rPr>
            </w:pPr>
            <w:r w:rsidRPr="00090673">
              <w:rPr>
                <w:rFonts w:ascii="Arial" w:hAnsi="Arial" w:cs="Arial"/>
                <w:b/>
                <w:bCs/>
                <w:color w:val="auto"/>
                <w:sz w:val="22"/>
                <w:szCs w:val="22"/>
              </w:rPr>
              <w:t>Efficiency and Implementation Approaches</w:t>
            </w:r>
          </w:p>
          <w:p w14:paraId="5236C68D"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How efficiently have financial, technical, and human resources been utilized to achieve program results? </w:t>
            </w:r>
          </w:p>
          <w:p w14:paraId="1A6BE086"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lastRenderedPageBreak/>
              <w:t xml:space="preserve">How effective were the implementation modalities, partnerships, coordination mechanisms, and delivery systems? </w:t>
            </w:r>
          </w:p>
          <w:p w14:paraId="37912B3A"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To what extent did collaboration with municipalities, government agencies, NGOs, private sector actors, and development partners contribute to program effectiveness? </w:t>
            </w:r>
          </w:p>
          <w:p w14:paraId="573432E6"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What operational challenges or bottlenecks </w:t>
            </w:r>
            <w:proofErr w:type="gramStart"/>
            <w:r w:rsidRPr="00090673">
              <w:rPr>
                <w:rFonts w:ascii="Arial" w:hAnsi="Arial" w:cs="Arial"/>
                <w:color w:val="auto"/>
                <w:sz w:val="22"/>
                <w:szCs w:val="22"/>
              </w:rPr>
              <w:t>affected</w:t>
            </w:r>
            <w:proofErr w:type="gramEnd"/>
            <w:r w:rsidRPr="00090673">
              <w:rPr>
                <w:rFonts w:ascii="Arial" w:hAnsi="Arial" w:cs="Arial"/>
                <w:color w:val="auto"/>
                <w:sz w:val="22"/>
                <w:szCs w:val="22"/>
              </w:rPr>
              <w:t xml:space="preserve"> implementation efficiency? </w:t>
            </w:r>
          </w:p>
          <w:p w14:paraId="089191CD" w14:textId="77777777" w:rsidR="00FE1ADF" w:rsidRPr="00090673" w:rsidRDefault="00FE1ADF">
            <w:pPr>
              <w:pStyle w:val="Heading3"/>
              <w:numPr>
                <w:ilvl w:val="0"/>
                <w:numId w:val="10"/>
              </w:numPr>
              <w:rPr>
                <w:rFonts w:ascii="Arial" w:hAnsi="Arial" w:cs="Arial"/>
                <w:b/>
                <w:bCs/>
                <w:color w:val="auto"/>
                <w:sz w:val="22"/>
                <w:szCs w:val="22"/>
              </w:rPr>
            </w:pPr>
            <w:r w:rsidRPr="00090673">
              <w:rPr>
                <w:rFonts w:ascii="Arial" w:hAnsi="Arial" w:cs="Arial"/>
                <w:b/>
                <w:bCs/>
                <w:color w:val="auto"/>
                <w:sz w:val="22"/>
                <w:szCs w:val="22"/>
              </w:rPr>
              <w:t>Sustainability and Scalability</w:t>
            </w:r>
          </w:p>
          <w:p w14:paraId="53931CB2"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To what extent are the benefits and outcomes of the program likely to be sustained after project support ends? </w:t>
            </w:r>
          </w:p>
          <w:p w14:paraId="4DC0AD7B"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How sustainable are the existing community governance structures, WASH operation and maintenance systems, volunteer engagement mechanisms, and livelihood initiatives? </w:t>
            </w:r>
          </w:p>
          <w:p w14:paraId="73CC3932"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What factors support or threaten the sustainability of housing improvements, resilience measures, and service delivery systems? </w:t>
            </w:r>
          </w:p>
          <w:p w14:paraId="7CBB3A7B"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Which program approaches and models demonstrate the greatest potential for replication and scale-up in other urban contexts in Bangladesh? </w:t>
            </w:r>
          </w:p>
          <w:p w14:paraId="35BF82AF"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What institutional, financial, or policy mechanisms are required to sustain and expand successful interventions? </w:t>
            </w:r>
          </w:p>
          <w:p w14:paraId="0F05531C"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How environmentally sustainable are the current program approaches and infrastructure systems in the long term?</w:t>
            </w:r>
          </w:p>
          <w:p w14:paraId="5A522359"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What opportunities exist to strengthen low-carbon, resource-efficient, and environmentally sustainable approaches within future urban programming?</w:t>
            </w:r>
          </w:p>
          <w:p w14:paraId="1C2306CB" w14:textId="77777777" w:rsidR="00FE1ADF" w:rsidRPr="00090673" w:rsidRDefault="00FE1ADF">
            <w:pPr>
              <w:pStyle w:val="Heading3"/>
              <w:numPr>
                <w:ilvl w:val="0"/>
                <w:numId w:val="10"/>
              </w:numPr>
              <w:rPr>
                <w:rFonts w:ascii="Arial" w:hAnsi="Arial" w:cs="Arial"/>
                <w:b/>
                <w:bCs/>
                <w:color w:val="auto"/>
                <w:sz w:val="22"/>
                <w:szCs w:val="22"/>
              </w:rPr>
            </w:pPr>
            <w:r w:rsidRPr="00090673">
              <w:rPr>
                <w:rFonts w:ascii="Arial" w:hAnsi="Arial" w:cs="Arial"/>
                <w:b/>
                <w:bCs/>
                <w:color w:val="auto"/>
                <w:sz w:val="22"/>
                <w:szCs w:val="22"/>
              </w:rPr>
              <w:t>Inclusiveness, Gender Equality, and Disability Inclusion</w:t>
            </w:r>
          </w:p>
          <w:p w14:paraId="06C85E16"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To what extent has the program ensured equitable participation and access for women, youth, persons with disabilities, climate migrants, tenants, and other socially excluded groups? </w:t>
            </w:r>
          </w:p>
          <w:p w14:paraId="4FCE1848"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How effectively has the program integrated gender equality, disability inclusion, safeguarding, and protection considerations across interventions? </w:t>
            </w:r>
          </w:p>
          <w:p w14:paraId="30865507"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What barriers continue to limit inclusive participation, leadership, and access to services and opportunities? </w:t>
            </w:r>
          </w:p>
          <w:p w14:paraId="2C78C356" w14:textId="77777777" w:rsidR="00FE1ADF" w:rsidRPr="00090673" w:rsidRDefault="00FE1ADF">
            <w:pPr>
              <w:pStyle w:val="Heading3"/>
              <w:numPr>
                <w:ilvl w:val="0"/>
                <w:numId w:val="10"/>
              </w:numPr>
              <w:rPr>
                <w:rFonts w:ascii="Arial" w:hAnsi="Arial" w:cs="Arial"/>
                <w:b/>
                <w:bCs/>
                <w:color w:val="auto"/>
                <w:sz w:val="22"/>
                <w:szCs w:val="22"/>
              </w:rPr>
            </w:pPr>
            <w:r w:rsidRPr="00090673">
              <w:rPr>
                <w:rFonts w:ascii="Arial" w:hAnsi="Arial" w:cs="Arial"/>
                <w:b/>
                <w:bCs/>
                <w:color w:val="auto"/>
                <w:sz w:val="22"/>
                <w:szCs w:val="22"/>
              </w:rPr>
              <w:t>Governance, Policy Engagement, and Systems Change</w:t>
            </w:r>
          </w:p>
          <w:p w14:paraId="2FEA9342"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How effectively has the program engaged with municipalities, urban authorities, and national stakeholders to strengthen inclusive urban governance systems? </w:t>
            </w:r>
          </w:p>
          <w:p w14:paraId="55201CB9"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To what extent has the program contributed to policy dialogue, advocacy, and institutional strengthening related to urban resilience, housing, WASH, and informal settlement upgrading? </w:t>
            </w:r>
          </w:p>
          <w:p w14:paraId="4BFAC590"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How coherent and complementary is the program with existing government systems, donor initiatives, and urban development programs? </w:t>
            </w:r>
          </w:p>
          <w:p w14:paraId="6E7A15C7"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What opportunities exist to strengthen systems-based approaches and municipal integration in future programming? </w:t>
            </w:r>
          </w:p>
          <w:p w14:paraId="5CA265C8" w14:textId="77777777" w:rsidR="00FE1ADF" w:rsidRPr="00090673" w:rsidRDefault="00FE1ADF">
            <w:pPr>
              <w:pStyle w:val="Heading3"/>
              <w:numPr>
                <w:ilvl w:val="0"/>
                <w:numId w:val="10"/>
              </w:numPr>
              <w:rPr>
                <w:rFonts w:ascii="Arial" w:hAnsi="Arial" w:cs="Arial"/>
                <w:b/>
                <w:bCs/>
                <w:color w:val="auto"/>
                <w:sz w:val="22"/>
                <w:szCs w:val="22"/>
              </w:rPr>
            </w:pPr>
            <w:r w:rsidRPr="00090673">
              <w:rPr>
                <w:rFonts w:ascii="Arial" w:hAnsi="Arial" w:cs="Arial"/>
                <w:b/>
                <w:bCs/>
                <w:color w:val="auto"/>
                <w:sz w:val="22"/>
                <w:szCs w:val="22"/>
              </w:rPr>
              <w:t>Gap and Opportunity Analysis</w:t>
            </w:r>
          </w:p>
          <w:p w14:paraId="5D279879"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What key operational, institutional, financial, governance, and policy gaps continue to hinder inclusive and climate-resilient urban development in informal settlements? </w:t>
            </w:r>
          </w:p>
          <w:p w14:paraId="53114C99"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What are the major barriers related to tenure security, housing finance, municipal service integration, and access to resilient infrastructure? </w:t>
            </w:r>
          </w:p>
          <w:p w14:paraId="59B45FF9"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What gaps exist in coordination among government agencies, municipalities, NGOs, private sector actors, and development partners? </w:t>
            </w:r>
          </w:p>
          <w:p w14:paraId="77D2BDDA"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What emerging opportunities exist for: </w:t>
            </w:r>
          </w:p>
          <w:p w14:paraId="6ACA51B3" w14:textId="77777777" w:rsidR="00FE1ADF" w:rsidRPr="00090673" w:rsidRDefault="00FE1ADF">
            <w:pPr>
              <w:pStyle w:val="Heading3"/>
              <w:numPr>
                <w:ilvl w:val="2"/>
                <w:numId w:val="10"/>
              </w:numPr>
              <w:rPr>
                <w:rFonts w:ascii="Arial" w:hAnsi="Arial" w:cs="Arial"/>
                <w:color w:val="auto"/>
                <w:sz w:val="22"/>
                <w:szCs w:val="22"/>
              </w:rPr>
            </w:pPr>
            <w:r w:rsidRPr="00090673">
              <w:rPr>
                <w:rFonts w:ascii="Arial" w:hAnsi="Arial" w:cs="Arial"/>
                <w:color w:val="auto"/>
                <w:sz w:val="22"/>
                <w:szCs w:val="22"/>
              </w:rPr>
              <w:t xml:space="preserve">Strategic partnerships and collaboration? </w:t>
            </w:r>
          </w:p>
          <w:p w14:paraId="6EAD2374" w14:textId="77777777" w:rsidR="00FE1ADF" w:rsidRPr="00090673" w:rsidRDefault="00FE1ADF">
            <w:pPr>
              <w:pStyle w:val="Heading3"/>
              <w:numPr>
                <w:ilvl w:val="2"/>
                <w:numId w:val="10"/>
              </w:numPr>
              <w:rPr>
                <w:rFonts w:ascii="Arial" w:hAnsi="Arial" w:cs="Arial"/>
                <w:color w:val="auto"/>
                <w:sz w:val="22"/>
                <w:szCs w:val="22"/>
              </w:rPr>
            </w:pPr>
            <w:r w:rsidRPr="00090673">
              <w:rPr>
                <w:rFonts w:ascii="Arial" w:hAnsi="Arial" w:cs="Arial"/>
                <w:color w:val="auto"/>
                <w:sz w:val="22"/>
                <w:szCs w:val="22"/>
              </w:rPr>
              <w:t xml:space="preserve">Resource mobilization and innovative financing? </w:t>
            </w:r>
          </w:p>
          <w:p w14:paraId="03361AD8" w14:textId="77777777" w:rsidR="00FE1ADF" w:rsidRPr="00090673" w:rsidRDefault="00FE1ADF">
            <w:pPr>
              <w:pStyle w:val="Heading3"/>
              <w:numPr>
                <w:ilvl w:val="2"/>
                <w:numId w:val="10"/>
              </w:numPr>
              <w:rPr>
                <w:rFonts w:ascii="Arial" w:hAnsi="Arial" w:cs="Arial"/>
                <w:color w:val="auto"/>
                <w:sz w:val="22"/>
                <w:szCs w:val="22"/>
              </w:rPr>
            </w:pPr>
            <w:r w:rsidRPr="00090673">
              <w:rPr>
                <w:rFonts w:ascii="Arial" w:hAnsi="Arial" w:cs="Arial"/>
                <w:color w:val="auto"/>
                <w:sz w:val="22"/>
                <w:szCs w:val="22"/>
              </w:rPr>
              <w:t xml:space="preserve">Systems strengthening and policy advocacy? </w:t>
            </w:r>
          </w:p>
          <w:p w14:paraId="4DB09421" w14:textId="77777777" w:rsidR="00FE1ADF" w:rsidRPr="00090673" w:rsidRDefault="00FE1ADF">
            <w:pPr>
              <w:pStyle w:val="Heading3"/>
              <w:numPr>
                <w:ilvl w:val="2"/>
                <w:numId w:val="10"/>
              </w:numPr>
              <w:rPr>
                <w:rFonts w:ascii="Arial" w:hAnsi="Arial" w:cs="Arial"/>
                <w:color w:val="auto"/>
                <w:sz w:val="22"/>
                <w:szCs w:val="22"/>
              </w:rPr>
            </w:pPr>
            <w:r w:rsidRPr="00090673">
              <w:rPr>
                <w:rFonts w:ascii="Arial" w:hAnsi="Arial" w:cs="Arial"/>
                <w:color w:val="auto"/>
                <w:sz w:val="22"/>
                <w:szCs w:val="22"/>
              </w:rPr>
              <w:t xml:space="preserve">Climate adaptation and resilience programming? </w:t>
            </w:r>
          </w:p>
          <w:p w14:paraId="0A2F90A8" w14:textId="77777777" w:rsidR="00FE1ADF" w:rsidRPr="00090673" w:rsidRDefault="00FE1ADF">
            <w:pPr>
              <w:pStyle w:val="Heading3"/>
              <w:numPr>
                <w:ilvl w:val="2"/>
                <w:numId w:val="10"/>
              </w:numPr>
              <w:rPr>
                <w:rFonts w:ascii="Arial" w:hAnsi="Arial" w:cs="Arial"/>
                <w:color w:val="auto"/>
                <w:sz w:val="22"/>
                <w:szCs w:val="22"/>
              </w:rPr>
            </w:pPr>
            <w:r w:rsidRPr="00090673">
              <w:rPr>
                <w:rFonts w:ascii="Arial" w:hAnsi="Arial" w:cs="Arial"/>
                <w:color w:val="auto"/>
                <w:sz w:val="22"/>
                <w:szCs w:val="22"/>
              </w:rPr>
              <w:lastRenderedPageBreak/>
              <w:t xml:space="preserve">Geographic expansion and replication? </w:t>
            </w:r>
          </w:p>
          <w:p w14:paraId="5DCD3F44" w14:textId="77777777" w:rsidR="00FE1ADF" w:rsidRPr="00090673" w:rsidRDefault="00FE1ADF">
            <w:pPr>
              <w:pStyle w:val="Heading3"/>
              <w:numPr>
                <w:ilvl w:val="0"/>
                <w:numId w:val="10"/>
              </w:numPr>
              <w:rPr>
                <w:rFonts w:ascii="Arial" w:hAnsi="Arial" w:cs="Arial"/>
                <w:b/>
                <w:bCs/>
                <w:color w:val="auto"/>
                <w:sz w:val="22"/>
                <w:szCs w:val="22"/>
              </w:rPr>
            </w:pPr>
            <w:r w:rsidRPr="00090673">
              <w:rPr>
                <w:rFonts w:ascii="Arial" w:hAnsi="Arial" w:cs="Arial"/>
                <w:b/>
                <w:bCs/>
                <w:color w:val="auto"/>
                <w:sz w:val="22"/>
                <w:szCs w:val="22"/>
              </w:rPr>
              <w:t>Lessons Learned and Good Practices</w:t>
            </w:r>
          </w:p>
          <w:p w14:paraId="2601036C"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What key lessons have emerged from the implementation of the urban program? </w:t>
            </w:r>
          </w:p>
          <w:p w14:paraId="0FED1968"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Which innovative approaches and good practices have been most effective in promoting climate resilience, inclusion, community participation, and sustainable urban upgrading? </w:t>
            </w:r>
          </w:p>
          <w:p w14:paraId="15F47616"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What contextual factors should inform future urban programming and strategic positioning of HFHI-B? </w:t>
            </w:r>
          </w:p>
          <w:p w14:paraId="5E62F285"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What environmentally sustainable and climate-friendly practices or models have emerged from the program that could be replicated or scaled up in future urban interventions?</w:t>
            </w:r>
          </w:p>
          <w:p w14:paraId="14FED1EE" w14:textId="77777777" w:rsidR="00FE1ADF" w:rsidRPr="00090673" w:rsidRDefault="00FE1ADF">
            <w:pPr>
              <w:pStyle w:val="Heading3"/>
              <w:numPr>
                <w:ilvl w:val="0"/>
                <w:numId w:val="10"/>
              </w:numPr>
              <w:rPr>
                <w:rFonts w:ascii="Arial" w:hAnsi="Arial" w:cs="Arial"/>
                <w:b/>
                <w:bCs/>
                <w:color w:val="auto"/>
                <w:sz w:val="22"/>
                <w:szCs w:val="22"/>
              </w:rPr>
            </w:pPr>
            <w:r w:rsidRPr="00090673">
              <w:rPr>
                <w:rFonts w:ascii="Arial" w:hAnsi="Arial" w:cs="Arial"/>
                <w:b/>
                <w:bCs/>
                <w:color w:val="auto"/>
                <w:sz w:val="22"/>
                <w:szCs w:val="22"/>
              </w:rPr>
              <w:t>Future Urban Programming Framework</w:t>
            </w:r>
          </w:p>
          <w:p w14:paraId="0EC8435F"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What strategic priorities and thematic focus areas should guide HFHI-B’s future urban programming? </w:t>
            </w:r>
          </w:p>
          <w:p w14:paraId="33CD57EC"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Which program models and interventions are most suitable for scale-up and replication? </w:t>
            </w:r>
          </w:p>
          <w:p w14:paraId="67B2CC5A"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What systems-change and advocacy approaches should be prioritized to strengthen inclusive and climate-resilient urban development? </w:t>
            </w:r>
          </w:p>
          <w:p w14:paraId="51568DCF"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What partnership, coordination, and financing mechanisms should be developed or strengthened? </w:t>
            </w:r>
          </w:p>
          <w:p w14:paraId="008B145F"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 xml:space="preserve">How can future programming better integrate gender equality, disability inclusion, climate resilience, and community-led governance? </w:t>
            </w:r>
          </w:p>
          <w:p w14:paraId="72992FA4"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What geographic areas and urban contexts present the greatest opportunities for future expansion?</w:t>
            </w:r>
          </w:p>
          <w:p w14:paraId="79C58A15" w14:textId="77777777" w:rsidR="00FE1ADF"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How can future programming better integrate environmental sustainability, climate mitigation, low-carbon urban development, and green infrastructure approaches?</w:t>
            </w:r>
          </w:p>
          <w:p w14:paraId="02EF815D" w14:textId="5425CC3C" w:rsidR="00816077" w:rsidRPr="00090673" w:rsidRDefault="00FE1ADF">
            <w:pPr>
              <w:pStyle w:val="Heading3"/>
              <w:numPr>
                <w:ilvl w:val="1"/>
                <w:numId w:val="10"/>
              </w:numPr>
              <w:rPr>
                <w:rFonts w:ascii="Arial" w:hAnsi="Arial" w:cs="Arial"/>
                <w:color w:val="auto"/>
                <w:sz w:val="22"/>
                <w:szCs w:val="22"/>
              </w:rPr>
            </w:pPr>
            <w:r w:rsidRPr="00090673">
              <w:rPr>
                <w:rFonts w:ascii="Arial" w:hAnsi="Arial" w:cs="Arial"/>
                <w:color w:val="auto"/>
                <w:sz w:val="22"/>
                <w:szCs w:val="22"/>
              </w:rPr>
              <w:t>What opportunities exist to incorporate environmentally sustainable construction materials, renewable energy, waste management, and nature-based solutions into future urban programming?</w:t>
            </w:r>
          </w:p>
        </w:tc>
      </w:tr>
      <w:tr w:rsidR="00EE1649" w:rsidRPr="00090673" w14:paraId="4D350255" w14:textId="77777777" w:rsidTr="00EE1649">
        <w:tblPrEx>
          <w:jc w:val="left"/>
          <w:tblCellMar>
            <w:top w:w="29" w:type="dxa"/>
            <w:bottom w:w="29" w:type="dxa"/>
          </w:tblCellMar>
        </w:tblPrEx>
        <w:trPr>
          <w:trHeight w:val="332"/>
        </w:trPr>
        <w:tc>
          <w:tcPr>
            <w:tcW w:w="9305" w:type="dxa"/>
            <w:gridSpan w:val="2"/>
            <w:shd w:val="clear" w:color="auto" w:fill="E8E8E8" w:themeFill="background2"/>
          </w:tcPr>
          <w:p w14:paraId="1BDB7570" w14:textId="71C42A24" w:rsidR="00EE1649" w:rsidRPr="00090673" w:rsidRDefault="00EE1649" w:rsidP="00EE1649">
            <w:pPr>
              <w:numPr>
                <w:ilvl w:val="0"/>
                <w:numId w:val="1"/>
              </w:numPr>
              <w:ind w:left="720"/>
              <w:rPr>
                <w:rFonts w:cs="Arial"/>
                <w:b/>
                <w:bCs/>
                <w:color w:val="auto"/>
              </w:rPr>
            </w:pPr>
            <w:r w:rsidRPr="00090673">
              <w:rPr>
                <w:rFonts w:eastAsia="Calibri" w:cs="Arial"/>
                <w:b/>
                <w:bCs/>
                <w:iCs/>
              </w:rPr>
              <w:lastRenderedPageBreak/>
              <w:t>Study Methodology</w:t>
            </w:r>
          </w:p>
        </w:tc>
      </w:tr>
      <w:tr w:rsidR="00FE1ADF" w:rsidRPr="00090673" w14:paraId="3B8D92F2" w14:textId="77777777" w:rsidTr="000F68C2">
        <w:tblPrEx>
          <w:jc w:val="left"/>
          <w:tblCellMar>
            <w:top w:w="29" w:type="dxa"/>
            <w:bottom w:w="29" w:type="dxa"/>
          </w:tblCellMar>
        </w:tblPrEx>
        <w:trPr>
          <w:trHeight w:val="530"/>
        </w:trPr>
        <w:tc>
          <w:tcPr>
            <w:tcW w:w="9305" w:type="dxa"/>
            <w:gridSpan w:val="2"/>
          </w:tcPr>
          <w:p w14:paraId="7E8FE4A4" w14:textId="4155FC63" w:rsidR="004B6F5C" w:rsidRPr="00090673" w:rsidRDefault="00D5471E" w:rsidP="00D5471E">
            <w:pPr>
              <w:pStyle w:val="NormalWeb"/>
              <w:rPr>
                <w:rFonts w:cs="Arial"/>
                <w:sz w:val="22"/>
                <w:szCs w:val="22"/>
              </w:rPr>
            </w:pPr>
            <w:r w:rsidRPr="00090673">
              <w:rPr>
                <w:rFonts w:cs="Arial"/>
                <w:sz w:val="22"/>
                <w:szCs w:val="22"/>
              </w:rPr>
              <w:t xml:space="preserve">The consultant/team will develop a detailed methodology aligned with the objectives and scope of the study. HFHI-B encourages the consultant/team to adopt a participatory, inclusive, and innovative approach to conduct </w:t>
            </w:r>
            <w:proofErr w:type="gramStart"/>
            <w:r w:rsidRPr="00090673">
              <w:rPr>
                <w:rFonts w:cs="Arial"/>
                <w:sz w:val="22"/>
                <w:szCs w:val="22"/>
              </w:rPr>
              <w:t>a comprehensive</w:t>
            </w:r>
            <w:proofErr w:type="gramEnd"/>
            <w:r w:rsidRPr="00090673">
              <w:rPr>
                <w:rFonts w:cs="Arial"/>
                <w:sz w:val="22"/>
                <w:szCs w:val="22"/>
              </w:rPr>
              <w:t xml:space="preserve"> impact study and urban programming assessment. The methodology should be designed to assess program performance using the OECD-DAC evaluation criteria: relevance, coherence, effectiveness, efficiency, impact, and</w:t>
            </w:r>
            <w:r w:rsidR="004B6F5C" w:rsidRPr="00090673">
              <w:rPr>
                <w:rFonts w:cs="Arial"/>
                <w:sz w:val="22"/>
                <w:szCs w:val="22"/>
              </w:rPr>
              <w:t xml:space="preserve"> </w:t>
            </w:r>
            <w:r w:rsidRPr="00090673">
              <w:rPr>
                <w:rFonts w:cs="Arial"/>
                <w:sz w:val="22"/>
                <w:szCs w:val="22"/>
              </w:rPr>
              <w:t>sustainability.</w:t>
            </w:r>
          </w:p>
          <w:p w14:paraId="0D4B5364" w14:textId="33CDF07E" w:rsidR="00D5471E" w:rsidRDefault="00D5471E" w:rsidP="00D5471E">
            <w:pPr>
              <w:pStyle w:val="NormalWeb"/>
              <w:rPr>
                <w:rFonts w:cs="Arial"/>
                <w:sz w:val="22"/>
                <w:szCs w:val="22"/>
              </w:rPr>
            </w:pPr>
            <w:r w:rsidRPr="00090673">
              <w:rPr>
                <w:rFonts w:cs="Arial"/>
                <w:sz w:val="22"/>
                <w:szCs w:val="22"/>
              </w:rPr>
              <w:t>The study will apply a mixed-method approach combining both quantitative and qualitative methods to ensure comprehensive analysis and triangulation of findings. The methodology should incorporate participatory consultation processes and ensure meaningful engagement of women, youth, persons with disabilities, climate migrants, tenants, community representatives, local authorities, and other relevant stakeholders.</w:t>
            </w:r>
          </w:p>
          <w:p w14:paraId="2E79D8C7" w14:textId="2467926A" w:rsidR="00DA2A56" w:rsidRPr="00090673" w:rsidRDefault="00DA2A56" w:rsidP="00D5471E">
            <w:pPr>
              <w:pStyle w:val="NormalWeb"/>
              <w:rPr>
                <w:rFonts w:cs="Arial"/>
                <w:sz w:val="22"/>
                <w:szCs w:val="22"/>
              </w:rPr>
            </w:pPr>
            <w:r w:rsidRPr="00DA2A56">
              <w:rPr>
                <w:rFonts w:cs="Arial"/>
                <w:sz w:val="22"/>
                <w:szCs w:val="22"/>
              </w:rPr>
              <w:t>To ensure feasibility within the given timeline and resources, the consultant/team should prioritize a focused and practical application of appropriate methods, making effective use of existing evidence and avoiding unnecessarily resource-intensive approaches unless justified.</w:t>
            </w:r>
          </w:p>
          <w:p w14:paraId="152C3F72" w14:textId="77777777" w:rsidR="004B6F5C" w:rsidRPr="00090673" w:rsidRDefault="00D5471E" w:rsidP="004B6F5C">
            <w:pPr>
              <w:pStyle w:val="Heading3"/>
              <w:rPr>
                <w:rFonts w:ascii="Arial" w:hAnsi="Arial" w:cs="Arial"/>
                <w:b/>
                <w:bCs/>
                <w:color w:val="auto"/>
                <w:sz w:val="22"/>
                <w:szCs w:val="22"/>
              </w:rPr>
            </w:pPr>
            <w:r w:rsidRPr="00090673">
              <w:rPr>
                <w:rFonts w:ascii="Arial" w:hAnsi="Arial" w:cs="Arial"/>
                <w:b/>
                <w:bCs/>
                <w:color w:val="auto"/>
                <w:sz w:val="22"/>
                <w:szCs w:val="22"/>
              </w:rPr>
              <w:lastRenderedPageBreak/>
              <w:t>Data Collection Methods</w:t>
            </w:r>
          </w:p>
          <w:p w14:paraId="256A6E4F" w14:textId="77777777" w:rsidR="004B6F5C" w:rsidRPr="00090673" w:rsidRDefault="00D5471E" w:rsidP="004B6F5C">
            <w:pPr>
              <w:pStyle w:val="Heading3"/>
              <w:rPr>
                <w:rFonts w:ascii="Arial" w:hAnsi="Arial" w:cs="Arial"/>
                <w:color w:val="auto"/>
                <w:sz w:val="22"/>
                <w:szCs w:val="22"/>
              </w:rPr>
            </w:pPr>
            <w:r w:rsidRPr="00090673">
              <w:rPr>
                <w:rFonts w:ascii="Arial" w:hAnsi="Arial" w:cs="Arial"/>
                <w:color w:val="auto"/>
                <w:sz w:val="22"/>
                <w:szCs w:val="22"/>
              </w:rPr>
              <w:t>Both primary and secondary data collection methods are expected to be used. The consultant/team will review relevant project documents, policies, reports, assessments, monitoring data, and other secondary literature relevant to urban development, climate resilience, housing, WASH, and informal settlements.</w:t>
            </w:r>
          </w:p>
          <w:p w14:paraId="65EB991A" w14:textId="77777777" w:rsidR="004B6F5C" w:rsidRPr="00090673" w:rsidRDefault="00D5471E" w:rsidP="004B6F5C">
            <w:pPr>
              <w:pStyle w:val="Heading3"/>
              <w:rPr>
                <w:rFonts w:ascii="Arial" w:hAnsi="Arial" w:cs="Arial"/>
                <w:color w:val="auto"/>
                <w:sz w:val="22"/>
                <w:szCs w:val="22"/>
              </w:rPr>
            </w:pPr>
            <w:r w:rsidRPr="00090673">
              <w:rPr>
                <w:rFonts w:ascii="Arial" w:hAnsi="Arial" w:cs="Arial"/>
                <w:color w:val="auto"/>
                <w:sz w:val="22"/>
                <w:szCs w:val="22"/>
              </w:rPr>
              <w:t>Primary data collection methods may include, but are not limited to:</w:t>
            </w:r>
          </w:p>
          <w:p w14:paraId="5BC7F4EB" w14:textId="77777777" w:rsidR="004B6F5C" w:rsidRPr="00090673" w:rsidRDefault="00D5471E">
            <w:pPr>
              <w:pStyle w:val="Heading3"/>
              <w:numPr>
                <w:ilvl w:val="0"/>
                <w:numId w:val="12"/>
              </w:numPr>
              <w:rPr>
                <w:rFonts w:ascii="Arial" w:hAnsi="Arial" w:cs="Arial"/>
                <w:b/>
                <w:bCs/>
                <w:color w:val="auto"/>
                <w:sz w:val="22"/>
                <w:szCs w:val="22"/>
              </w:rPr>
            </w:pPr>
            <w:r w:rsidRPr="00090673">
              <w:rPr>
                <w:rFonts w:ascii="Arial" w:hAnsi="Arial" w:cs="Arial"/>
                <w:color w:val="auto"/>
                <w:sz w:val="22"/>
                <w:szCs w:val="22"/>
              </w:rPr>
              <w:t xml:space="preserve">Household surveys (HH survey); </w:t>
            </w:r>
          </w:p>
          <w:p w14:paraId="1A4A23B2" w14:textId="77777777" w:rsidR="00DF15A9" w:rsidRPr="00090673" w:rsidRDefault="00D5471E">
            <w:pPr>
              <w:pStyle w:val="Heading3"/>
              <w:numPr>
                <w:ilvl w:val="0"/>
                <w:numId w:val="12"/>
              </w:numPr>
              <w:rPr>
                <w:rFonts w:ascii="Arial" w:hAnsi="Arial" w:cs="Arial"/>
                <w:b/>
                <w:bCs/>
                <w:color w:val="auto"/>
                <w:sz w:val="22"/>
                <w:szCs w:val="22"/>
              </w:rPr>
            </w:pPr>
            <w:r w:rsidRPr="00090673">
              <w:rPr>
                <w:rFonts w:ascii="Arial" w:hAnsi="Arial" w:cs="Arial"/>
                <w:color w:val="auto"/>
              </w:rPr>
              <w:t xml:space="preserve">Focus Group Discussions (FGDs); </w:t>
            </w:r>
          </w:p>
          <w:p w14:paraId="4E2BCB29" w14:textId="77777777" w:rsidR="00DF15A9" w:rsidRPr="00090673" w:rsidRDefault="00D5471E">
            <w:pPr>
              <w:pStyle w:val="Heading3"/>
              <w:numPr>
                <w:ilvl w:val="0"/>
                <w:numId w:val="12"/>
              </w:numPr>
              <w:rPr>
                <w:rFonts w:ascii="Arial" w:hAnsi="Arial" w:cs="Arial"/>
                <w:b/>
                <w:bCs/>
                <w:color w:val="auto"/>
                <w:sz w:val="22"/>
                <w:szCs w:val="22"/>
              </w:rPr>
            </w:pPr>
            <w:r w:rsidRPr="00090673">
              <w:rPr>
                <w:rFonts w:ascii="Arial" w:hAnsi="Arial" w:cs="Arial"/>
                <w:color w:val="auto"/>
              </w:rPr>
              <w:t xml:space="preserve">Key Informant Interviews (KIIs); </w:t>
            </w:r>
          </w:p>
          <w:p w14:paraId="372FB947" w14:textId="77777777" w:rsidR="00DF15A9" w:rsidRPr="00090673" w:rsidRDefault="00D5471E">
            <w:pPr>
              <w:pStyle w:val="Heading3"/>
              <w:numPr>
                <w:ilvl w:val="0"/>
                <w:numId w:val="12"/>
              </w:numPr>
              <w:rPr>
                <w:rFonts w:ascii="Arial" w:hAnsi="Arial" w:cs="Arial"/>
                <w:b/>
                <w:bCs/>
                <w:color w:val="auto"/>
                <w:sz w:val="22"/>
                <w:szCs w:val="22"/>
              </w:rPr>
            </w:pPr>
            <w:r w:rsidRPr="00090673">
              <w:rPr>
                <w:rFonts w:ascii="Arial" w:hAnsi="Arial" w:cs="Arial"/>
                <w:color w:val="auto"/>
              </w:rPr>
              <w:t xml:space="preserve">In-Depth Interviews (IDIs); </w:t>
            </w:r>
          </w:p>
          <w:p w14:paraId="690096AB" w14:textId="77777777" w:rsidR="00DF15A9" w:rsidRPr="00090673" w:rsidRDefault="00D5471E">
            <w:pPr>
              <w:pStyle w:val="Heading3"/>
              <w:numPr>
                <w:ilvl w:val="0"/>
                <w:numId w:val="12"/>
              </w:numPr>
              <w:rPr>
                <w:rFonts w:ascii="Arial" w:hAnsi="Arial" w:cs="Arial"/>
                <w:b/>
                <w:bCs/>
                <w:color w:val="auto"/>
                <w:sz w:val="22"/>
                <w:szCs w:val="22"/>
              </w:rPr>
            </w:pPr>
            <w:r w:rsidRPr="00090673">
              <w:rPr>
                <w:rFonts w:ascii="Arial" w:hAnsi="Arial" w:cs="Arial"/>
                <w:color w:val="auto"/>
              </w:rPr>
              <w:t xml:space="preserve">Stakeholder consultation meetings and multi-stakeholder workshops; </w:t>
            </w:r>
          </w:p>
          <w:p w14:paraId="4992C3CA" w14:textId="77777777" w:rsidR="00DF15A9" w:rsidRPr="00090673" w:rsidRDefault="00D5471E">
            <w:pPr>
              <w:pStyle w:val="Heading3"/>
              <w:numPr>
                <w:ilvl w:val="0"/>
                <w:numId w:val="12"/>
              </w:numPr>
              <w:rPr>
                <w:rFonts w:ascii="Arial" w:hAnsi="Arial" w:cs="Arial"/>
                <w:b/>
                <w:bCs/>
                <w:color w:val="auto"/>
                <w:sz w:val="22"/>
                <w:szCs w:val="22"/>
              </w:rPr>
            </w:pPr>
            <w:r w:rsidRPr="00090673">
              <w:rPr>
                <w:rFonts w:ascii="Arial" w:hAnsi="Arial" w:cs="Arial"/>
                <w:color w:val="auto"/>
              </w:rPr>
              <w:t xml:space="preserve">Community consultations and validation sessions; </w:t>
            </w:r>
          </w:p>
          <w:p w14:paraId="240F112C" w14:textId="77777777" w:rsidR="00DF15A9" w:rsidRPr="00090673" w:rsidRDefault="00D5471E">
            <w:pPr>
              <w:pStyle w:val="Heading3"/>
              <w:numPr>
                <w:ilvl w:val="0"/>
                <w:numId w:val="12"/>
              </w:numPr>
              <w:rPr>
                <w:rFonts w:ascii="Arial" w:hAnsi="Arial" w:cs="Arial"/>
                <w:b/>
                <w:bCs/>
                <w:color w:val="auto"/>
                <w:sz w:val="22"/>
                <w:szCs w:val="22"/>
              </w:rPr>
            </w:pPr>
            <w:r w:rsidRPr="00090673">
              <w:rPr>
                <w:rFonts w:ascii="Arial" w:hAnsi="Arial" w:cs="Arial"/>
                <w:color w:val="auto"/>
              </w:rPr>
              <w:t xml:space="preserve">Field observations and case studies. </w:t>
            </w:r>
          </w:p>
          <w:p w14:paraId="18316079" w14:textId="13C2C1FF" w:rsidR="00DF15A9" w:rsidRPr="00090673" w:rsidRDefault="00D5471E" w:rsidP="00DF15A9">
            <w:pPr>
              <w:pStyle w:val="Heading3"/>
              <w:rPr>
                <w:rFonts w:ascii="Arial" w:hAnsi="Arial" w:cs="Arial"/>
                <w:color w:val="auto"/>
                <w:sz w:val="22"/>
                <w:szCs w:val="22"/>
              </w:rPr>
            </w:pPr>
            <w:r w:rsidRPr="00090673">
              <w:rPr>
                <w:rFonts w:ascii="Arial" w:hAnsi="Arial" w:cs="Arial"/>
                <w:color w:val="auto"/>
                <w:sz w:val="22"/>
                <w:szCs w:val="22"/>
              </w:rPr>
              <w:t>The consultant/team is expected to develop appropriate data collection tools</w:t>
            </w:r>
            <w:r w:rsidR="004E09FC" w:rsidRPr="00090673">
              <w:rPr>
                <w:rFonts w:ascii="Arial" w:hAnsi="Arial" w:cs="Arial"/>
                <w:color w:val="auto"/>
                <w:sz w:val="22"/>
                <w:szCs w:val="22"/>
              </w:rPr>
              <w:t>, sampling strategy, data analysis plan</w:t>
            </w:r>
            <w:r w:rsidRPr="00090673">
              <w:rPr>
                <w:rFonts w:ascii="Arial" w:hAnsi="Arial" w:cs="Arial"/>
                <w:color w:val="auto"/>
                <w:sz w:val="22"/>
                <w:szCs w:val="22"/>
              </w:rPr>
              <w:t xml:space="preserve"> and undertake field testing/piloting of the tools prior to finalization in consultation with designated personnel of HFHI-B.</w:t>
            </w:r>
          </w:p>
          <w:p w14:paraId="2B034D66" w14:textId="77777777" w:rsidR="00DF15A9" w:rsidRPr="00090673" w:rsidRDefault="00D5471E" w:rsidP="00DF15A9">
            <w:pPr>
              <w:pStyle w:val="Heading3"/>
              <w:rPr>
                <w:rFonts w:ascii="Arial" w:hAnsi="Arial" w:cs="Arial"/>
                <w:color w:val="auto"/>
                <w:sz w:val="22"/>
                <w:szCs w:val="22"/>
              </w:rPr>
            </w:pPr>
            <w:r w:rsidRPr="00090673">
              <w:rPr>
                <w:rFonts w:ascii="Arial" w:hAnsi="Arial" w:cs="Arial"/>
                <w:color w:val="auto"/>
                <w:sz w:val="22"/>
                <w:szCs w:val="22"/>
              </w:rPr>
              <w:t>The methodology should also incorporate assessment of environmental sustainability and climate mitigation dimensions of the program, including how housing, WASH, drainage, and resilience interventions may have contributed to environmentally sustainable practices, reduced environmental risks, and potential reduction of carbon emissions.</w:t>
            </w:r>
          </w:p>
          <w:p w14:paraId="5C72CF75" w14:textId="3EDCA6F3" w:rsidR="00FE1ADF" w:rsidRPr="00090673" w:rsidRDefault="00D5471E" w:rsidP="00FE1ADF">
            <w:pPr>
              <w:pStyle w:val="Heading3"/>
              <w:rPr>
                <w:rFonts w:ascii="Arial" w:hAnsi="Arial" w:cs="Arial"/>
                <w:b/>
                <w:bCs/>
                <w:color w:val="auto"/>
                <w:sz w:val="22"/>
                <w:szCs w:val="22"/>
              </w:rPr>
            </w:pPr>
            <w:r w:rsidRPr="00090673">
              <w:rPr>
                <w:rFonts w:ascii="Arial" w:hAnsi="Arial" w:cs="Arial"/>
                <w:color w:val="auto"/>
                <w:sz w:val="22"/>
                <w:szCs w:val="22"/>
              </w:rPr>
              <w:t>The consultant/team should ensure ethical considerations, informed consent, confidentiality, safeguarding principles, gender sensitivity, and disability-inclusive approaches throughout the study process.</w:t>
            </w:r>
          </w:p>
        </w:tc>
      </w:tr>
    </w:tbl>
    <w:p w14:paraId="6DE8B876" w14:textId="77777777" w:rsidR="00561D81" w:rsidRPr="00090673" w:rsidRDefault="00561D81" w:rsidP="00137854">
      <w:pPr>
        <w:rPr>
          <w:rFonts w:cs="Arial"/>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9305"/>
      </w:tblGrid>
      <w:tr w:rsidR="00B27F6C" w:rsidRPr="00090673" w14:paraId="63D430E9" w14:textId="77777777" w:rsidTr="00FE1ADF">
        <w:trPr>
          <w:trHeight w:val="288"/>
        </w:trPr>
        <w:tc>
          <w:tcPr>
            <w:tcW w:w="9545" w:type="dxa"/>
            <w:shd w:val="clear" w:color="auto" w:fill="E8E8E8" w:themeFill="background2"/>
          </w:tcPr>
          <w:p w14:paraId="13F97397" w14:textId="77777777" w:rsidR="00B27F6C" w:rsidRPr="00090673" w:rsidRDefault="00B27F6C" w:rsidP="009C7451">
            <w:pPr>
              <w:numPr>
                <w:ilvl w:val="0"/>
                <w:numId w:val="1"/>
              </w:numPr>
              <w:ind w:left="720"/>
              <w:rPr>
                <w:rFonts w:eastAsia="Calibri" w:cs="Arial"/>
                <w:b/>
                <w:bCs/>
                <w:iCs/>
              </w:rPr>
            </w:pPr>
            <w:r w:rsidRPr="00090673">
              <w:rPr>
                <w:rFonts w:eastAsia="Calibri" w:cs="Arial"/>
                <w:b/>
                <w:bCs/>
                <w:iCs/>
              </w:rPr>
              <w:t>Work Plan and Deliverables</w:t>
            </w:r>
          </w:p>
        </w:tc>
      </w:tr>
      <w:tr w:rsidR="00972406" w:rsidRPr="00090673" w14:paraId="130F4C6D" w14:textId="77777777" w:rsidTr="00767D95">
        <w:trPr>
          <w:trHeight w:val="288"/>
        </w:trPr>
        <w:tc>
          <w:tcPr>
            <w:tcW w:w="9545" w:type="dxa"/>
          </w:tcPr>
          <w:p w14:paraId="2F284DD8" w14:textId="77777777" w:rsidR="000B255B" w:rsidRPr="00090673" w:rsidRDefault="000B255B" w:rsidP="000B255B">
            <w:pPr>
              <w:jc w:val="both"/>
              <w:rPr>
                <w:rFonts w:eastAsia="Calibri" w:cs="Arial"/>
              </w:rPr>
            </w:pPr>
            <w:r w:rsidRPr="00090673">
              <w:rPr>
                <w:rFonts w:eastAsia="Calibri" w:cs="Arial"/>
              </w:rPr>
              <w:t xml:space="preserve">The Consultant/team will prepare a detailed work plan that will operationalize and guide the implementation of the impact study, gap and opportunity analysis, and development of the expanded urban programming framework. The work plan will describe how the study will be conducted, including </w:t>
            </w:r>
            <w:proofErr w:type="gramStart"/>
            <w:r w:rsidRPr="00090673">
              <w:rPr>
                <w:rFonts w:eastAsia="Calibri" w:cs="Arial"/>
              </w:rPr>
              <w:t>refinements</w:t>
            </w:r>
            <w:proofErr w:type="gramEnd"/>
            <w:r w:rsidRPr="00090673">
              <w:rPr>
                <w:rFonts w:eastAsia="Calibri" w:cs="Arial"/>
              </w:rPr>
              <w:t>, specificity, and elaboration of these Terms of Reference (</w:t>
            </w:r>
            <w:proofErr w:type="spellStart"/>
            <w:r w:rsidRPr="00090673">
              <w:rPr>
                <w:rFonts w:eastAsia="Calibri" w:cs="Arial"/>
              </w:rPr>
              <w:t>ToR</w:t>
            </w:r>
            <w:proofErr w:type="spellEnd"/>
            <w:r w:rsidRPr="00090673">
              <w:rPr>
                <w:rFonts w:eastAsia="Calibri" w:cs="Arial"/>
              </w:rPr>
              <w:t>). The work plan will be reviewed and approved by the designated personnel of HFHI-B and will serve as the agreed framework for implementation of the assignment.</w:t>
            </w:r>
          </w:p>
          <w:p w14:paraId="6998C949" w14:textId="77777777" w:rsidR="000B255B" w:rsidRPr="00090673" w:rsidRDefault="000B255B" w:rsidP="000B255B">
            <w:pPr>
              <w:jc w:val="both"/>
              <w:rPr>
                <w:rFonts w:eastAsia="Calibri" w:cs="Arial"/>
              </w:rPr>
            </w:pPr>
            <w:r w:rsidRPr="00090673">
              <w:rPr>
                <w:rFonts w:eastAsia="Calibri" w:cs="Arial"/>
              </w:rPr>
              <w:t>The work plan should include, but not be limited to, the following elements:</w:t>
            </w:r>
          </w:p>
          <w:p w14:paraId="5B43C78C" w14:textId="77777777" w:rsidR="000B255B" w:rsidRPr="00090673" w:rsidRDefault="000B255B">
            <w:pPr>
              <w:pStyle w:val="ListParagraph"/>
              <w:numPr>
                <w:ilvl w:val="0"/>
                <w:numId w:val="13"/>
              </w:numPr>
              <w:jc w:val="both"/>
              <w:rPr>
                <w:rFonts w:ascii="Arial" w:hAnsi="Arial" w:cs="Arial"/>
                <w:sz w:val="22"/>
                <w:szCs w:val="22"/>
              </w:rPr>
            </w:pPr>
            <w:r w:rsidRPr="00090673">
              <w:rPr>
                <w:rFonts w:ascii="Arial" w:hAnsi="Arial" w:cs="Arial"/>
                <w:sz w:val="22"/>
                <w:szCs w:val="22"/>
              </w:rPr>
              <w:t>Overview of the Urban Program and Study Context;</w:t>
            </w:r>
          </w:p>
          <w:p w14:paraId="61473C23" w14:textId="77777777" w:rsidR="000B255B" w:rsidRPr="00090673" w:rsidRDefault="000B255B">
            <w:pPr>
              <w:pStyle w:val="ListParagraph"/>
              <w:numPr>
                <w:ilvl w:val="0"/>
                <w:numId w:val="13"/>
              </w:numPr>
              <w:jc w:val="both"/>
              <w:rPr>
                <w:rFonts w:ascii="Arial" w:hAnsi="Arial" w:cs="Arial"/>
                <w:sz w:val="22"/>
                <w:szCs w:val="22"/>
              </w:rPr>
            </w:pPr>
            <w:r w:rsidRPr="00090673">
              <w:rPr>
                <w:rFonts w:ascii="Arial" w:hAnsi="Arial" w:cs="Arial"/>
                <w:sz w:val="22"/>
                <w:szCs w:val="22"/>
              </w:rPr>
              <w:t>Understanding of the Assignment and Expectations of the Study;</w:t>
            </w:r>
          </w:p>
          <w:p w14:paraId="3C561BCA" w14:textId="77777777" w:rsidR="000B255B" w:rsidRPr="00090673" w:rsidRDefault="000B255B">
            <w:pPr>
              <w:pStyle w:val="ListParagraph"/>
              <w:numPr>
                <w:ilvl w:val="0"/>
                <w:numId w:val="13"/>
              </w:numPr>
              <w:jc w:val="both"/>
              <w:rPr>
                <w:rFonts w:ascii="Arial" w:hAnsi="Arial" w:cs="Arial"/>
                <w:sz w:val="22"/>
                <w:szCs w:val="22"/>
              </w:rPr>
            </w:pPr>
            <w:r w:rsidRPr="00090673">
              <w:rPr>
                <w:rFonts w:ascii="Arial" w:hAnsi="Arial" w:cs="Arial"/>
                <w:sz w:val="22"/>
                <w:szCs w:val="22"/>
              </w:rPr>
              <w:t>Roles and Responsibilities of the Consultant/team and HFHI-B;</w:t>
            </w:r>
          </w:p>
          <w:p w14:paraId="4F983C89" w14:textId="77777777" w:rsidR="000B255B" w:rsidRPr="00090673" w:rsidRDefault="000B255B">
            <w:pPr>
              <w:pStyle w:val="ListParagraph"/>
              <w:numPr>
                <w:ilvl w:val="0"/>
                <w:numId w:val="13"/>
              </w:numPr>
              <w:jc w:val="both"/>
              <w:rPr>
                <w:rFonts w:ascii="Arial" w:hAnsi="Arial" w:cs="Arial"/>
                <w:sz w:val="22"/>
                <w:szCs w:val="22"/>
              </w:rPr>
            </w:pPr>
            <w:r w:rsidRPr="00090673">
              <w:rPr>
                <w:rFonts w:ascii="Arial" w:hAnsi="Arial" w:cs="Arial"/>
                <w:sz w:val="22"/>
                <w:szCs w:val="22"/>
              </w:rPr>
              <w:t>Detailed Methodology and Evaluation Framework;</w:t>
            </w:r>
          </w:p>
          <w:p w14:paraId="33587021" w14:textId="77777777" w:rsidR="000B255B" w:rsidRPr="00090673" w:rsidRDefault="000B255B">
            <w:pPr>
              <w:pStyle w:val="ListParagraph"/>
              <w:numPr>
                <w:ilvl w:val="0"/>
                <w:numId w:val="13"/>
              </w:numPr>
              <w:jc w:val="both"/>
              <w:rPr>
                <w:rFonts w:ascii="Arial" w:hAnsi="Arial" w:cs="Arial"/>
                <w:sz w:val="22"/>
                <w:szCs w:val="22"/>
              </w:rPr>
            </w:pPr>
            <w:r w:rsidRPr="00090673">
              <w:rPr>
                <w:rFonts w:ascii="Arial" w:hAnsi="Arial" w:cs="Arial"/>
                <w:sz w:val="22"/>
                <w:szCs w:val="22"/>
              </w:rPr>
              <w:t>Sampling Strategy and Data Collection Approaches;</w:t>
            </w:r>
          </w:p>
          <w:p w14:paraId="0CA9A270" w14:textId="77777777" w:rsidR="000B255B" w:rsidRPr="00090673" w:rsidRDefault="000B255B">
            <w:pPr>
              <w:pStyle w:val="ListParagraph"/>
              <w:numPr>
                <w:ilvl w:val="0"/>
                <w:numId w:val="13"/>
              </w:numPr>
              <w:jc w:val="both"/>
              <w:rPr>
                <w:rFonts w:ascii="Arial" w:hAnsi="Arial" w:cs="Arial"/>
                <w:sz w:val="22"/>
                <w:szCs w:val="22"/>
              </w:rPr>
            </w:pPr>
            <w:r w:rsidRPr="00090673">
              <w:rPr>
                <w:rFonts w:ascii="Arial" w:hAnsi="Arial" w:cs="Arial"/>
                <w:sz w:val="22"/>
                <w:szCs w:val="22"/>
              </w:rPr>
              <w:t>Stakeholder Engagement and Consultation Plan;</w:t>
            </w:r>
          </w:p>
          <w:p w14:paraId="652EF858" w14:textId="77777777" w:rsidR="000B255B" w:rsidRPr="00090673" w:rsidRDefault="000B255B">
            <w:pPr>
              <w:pStyle w:val="ListParagraph"/>
              <w:numPr>
                <w:ilvl w:val="0"/>
                <w:numId w:val="13"/>
              </w:numPr>
              <w:jc w:val="both"/>
              <w:rPr>
                <w:rFonts w:ascii="Arial" w:hAnsi="Arial" w:cs="Arial"/>
                <w:sz w:val="22"/>
                <w:szCs w:val="22"/>
              </w:rPr>
            </w:pPr>
            <w:r w:rsidRPr="00090673">
              <w:rPr>
                <w:rFonts w:ascii="Arial" w:hAnsi="Arial" w:cs="Arial"/>
                <w:sz w:val="22"/>
                <w:szCs w:val="22"/>
              </w:rPr>
              <w:t>Data Management, Analysis, and Quality Assurance Mechanisms;</w:t>
            </w:r>
          </w:p>
          <w:p w14:paraId="0AF12522" w14:textId="77777777" w:rsidR="000B255B" w:rsidRPr="00090673" w:rsidRDefault="000B255B">
            <w:pPr>
              <w:pStyle w:val="ListParagraph"/>
              <w:numPr>
                <w:ilvl w:val="0"/>
                <w:numId w:val="13"/>
              </w:numPr>
              <w:jc w:val="both"/>
              <w:rPr>
                <w:rFonts w:ascii="Arial" w:hAnsi="Arial" w:cs="Arial"/>
                <w:sz w:val="22"/>
                <w:szCs w:val="22"/>
              </w:rPr>
            </w:pPr>
            <w:r w:rsidRPr="00090673">
              <w:rPr>
                <w:rFonts w:ascii="Arial" w:hAnsi="Arial" w:cs="Arial"/>
                <w:sz w:val="22"/>
                <w:szCs w:val="22"/>
              </w:rPr>
              <w:t>Environmental Sustainability and Climate Mitigation Assessment Approach;</w:t>
            </w:r>
          </w:p>
          <w:p w14:paraId="4F172B76" w14:textId="77777777" w:rsidR="000B255B" w:rsidRPr="00090673" w:rsidRDefault="000B255B">
            <w:pPr>
              <w:pStyle w:val="ListParagraph"/>
              <w:numPr>
                <w:ilvl w:val="0"/>
                <w:numId w:val="13"/>
              </w:numPr>
              <w:jc w:val="both"/>
              <w:rPr>
                <w:rFonts w:ascii="Arial" w:hAnsi="Arial" w:cs="Arial"/>
                <w:sz w:val="22"/>
                <w:szCs w:val="22"/>
              </w:rPr>
            </w:pPr>
            <w:r w:rsidRPr="00090673">
              <w:rPr>
                <w:rFonts w:ascii="Arial" w:hAnsi="Arial" w:cs="Arial"/>
                <w:sz w:val="22"/>
                <w:szCs w:val="22"/>
              </w:rPr>
              <w:t>Ethical Considerations, Safeguarding, Gender, and Disability Inclusion Measures;</w:t>
            </w:r>
          </w:p>
          <w:p w14:paraId="30BC2B1B" w14:textId="77777777" w:rsidR="000B255B" w:rsidRPr="00090673" w:rsidRDefault="000B255B">
            <w:pPr>
              <w:pStyle w:val="ListParagraph"/>
              <w:numPr>
                <w:ilvl w:val="0"/>
                <w:numId w:val="13"/>
              </w:numPr>
              <w:jc w:val="both"/>
              <w:rPr>
                <w:rFonts w:ascii="Arial" w:hAnsi="Arial" w:cs="Arial"/>
                <w:sz w:val="22"/>
                <w:szCs w:val="22"/>
              </w:rPr>
            </w:pPr>
            <w:r w:rsidRPr="00090673">
              <w:rPr>
                <w:rFonts w:ascii="Arial" w:hAnsi="Arial" w:cs="Arial"/>
                <w:sz w:val="22"/>
                <w:szCs w:val="22"/>
              </w:rPr>
              <w:t>Reporting and Communication Mechanisms;</w:t>
            </w:r>
          </w:p>
          <w:p w14:paraId="49120035" w14:textId="7D75F16F" w:rsidR="00A34BFE" w:rsidRPr="00090673" w:rsidRDefault="000B255B">
            <w:pPr>
              <w:pStyle w:val="ListParagraph"/>
              <w:numPr>
                <w:ilvl w:val="0"/>
                <w:numId w:val="13"/>
              </w:numPr>
              <w:jc w:val="both"/>
              <w:rPr>
                <w:rFonts w:ascii="Arial" w:hAnsi="Arial" w:cs="Arial"/>
                <w:sz w:val="22"/>
                <w:szCs w:val="22"/>
              </w:rPr>
            </w:pPr>
            <w:r w:rsidRPr="00090673">
              <w:rPr>
                <w:rFonts w:ascii="Arial" w:hAnsi="Arial" w:cs="Arial"/>
                <w:sz w:val="22"/>
                <w:szCs w:val="22"/>
              </w:rPr>
              <w:t>Work Schedule and Timeline.</w:t>
            </w:r>
          </w:p>
          <w:p w14:paraId="1A0CDA8C" w14:textId="77777777" w:rsidR="008A0109" w:rsidRPr="00090673" w:rsidRDefault="008A0109" w:rsidP="008A0109">
            <w:pPr>
              <w:pStyle w:val="ListParagraph"/>
              <w:jc w:val="both"/>
              <w:rPr>
                <w:rFonts w:ascii="Arial" w:hAnsi="Arial" w:cs="Arial"/>
                <w:sz w:val="22"/>
                <w:szCs w:val="22"/>
              </w:rPr>
            </w:pPr>
          </w:p>
          <w:p w14:paraId="6D44AAF4" w14:textId="4E8526C6" w:rsidR="00EA7530" w:rsidRPr="00090673" w:rsidRDefault="008A0109" w:rsidP="00EA7530">
            <w:pPr>
              <w:jc w:val="both"/>
              <w:rPr>
                <w:rFonts w:cs="Arial"/>
                <w:b/>
                <w:bCs/>
                <w:color w:val="auto"/>
              </w:rPr>
            </w:pPr>
            <w:r w:rsidRPr="00090673">
              <w:rPr>
                <w:rFonts w:cs="Arial"/>
                <w:b/>
                <w:bCs/>
                <w:color w:val="auto"/>
              </w:rPr>
              <w:t>Tentative Schedule and Timeframe for the Study</w:t>
            </w:r>
          </w:p>
          <w:tbl>
            <w:tblPr>
              <w:tblStyle w:val="TableGrid"/>
              <w:tblW w:w="0" w:type="auto"/>
              <w:tblLook w:val="04A0" w:firstRow="1" w:lastRow="0" w:firstColumn="1" w:lastColumn="0" w:noHBand="0" w:noVBand="1"/>
            </w:tblPr>
            <w:tblGrid>
              <w:gridCol w:w="4287"/>
              <w:gridCol w:w="2777"/>
              <w:gridCol w:w="2001"/>
            </w:tblGrid>
            <w:tr w:rsidR="00444980" w:rsidRPr="00090673" w14:paraId="65D02BDE" w14:textId="77777777" w:rsidTr="00444980">
              <w:tc>
                <w:tcPr>
                  <w:tcW w:w="0" w:type="auto"/>
                  <w:hideMark/>
                </w:tcPr>
                <w:p w14:paraId="7F495FAA" w14:textId="77777777" w:rsidR="00444980" w:rsidRPr="00090673" w:rsidRDefault="00444980" w:rsidP="00444980">
                  <w:pPr>
                    <w:jc w:val="center"/>
                    <w:rPr>
                      <w:rFonts w:eastAsia="Times New Roman" w:cs="Arial"/>
                      <w:b/>
                      <w:bCs/>
                      <w:color w:val="auto"/>
                      <w:lang w:eastAsia="en-US"/>
                    </w:rPr>
                  </w:pPr>
                  <w:r w:rsidRPr="00090673">
                    <w:rPr>
                      <w:rFonts w:eastAsia="Times New Roman" w:cs="Arial"/>
                      <w:b/>
                      <w:bCs/>
                      <w:color w:val="auto"/>
                      <w:lang w:eastAsia="en-US"/>
                    </w:rPr>
                    <w:t>Activity</w:t>
                  </w:r>
                </w:p>
              </w:tc>
              <w:tc>
                <w:tcPr>
                  <w:tcW w:w="0" w:type="auto"/>
                  <w:hideMark/>
                </w:tcPr>
                <w:p w14:paraId="3CE7F34B" w14:textId="77777777" w:rsidR="00444980" w:rsidRPr="00090673" w:rsidRDefault="00444980" w:rsidP="00444980">
                  <w:pPr>
                    <w:jc w:val="center"/>
                    <w:rPr>
                      <w:rFonts w:eastAsia="Times New Roman" w:cs="Arial"/>
                      <w:b/>
                      <w:bCs/>
                      <w:color w:val="auto"/>
                      <w:lang w:eastAsia="en-US"/>
                    </w:rPr>
                  </w:pPr>
                  <w:r w:rsidRPr="00090673">
                    <w:rPr>
                      <w:rFonts w:eastAsia="Times New Roman" w:cs="Arial"/>
                      <w:b/>
                      <w:bCs/>
                      <w:color w:val="auto"/>
                      <w:lang w:eastAsia="en-US"/>
                    </w:rPr>
                    <w:t>Timeframe</w:t>
                  </w:r>
                </w:p>
              </w:tc>
              <w:tc>
                <w:tcPr>
                  <w:tcW w:w="0" w:type="auto"/>
                  <w:hideMark/>
                </w:tcPr>
                <w:p w14:paraId="296D6BE0" w14:textId="77777777" w:rsidR="00444980" w:rsidRPr="00090673" w:rsidRDefault="00444980" w:rsidP="00444980">
                  <w:pPr>
                    <w:jc w:val="center"/>
                    <w:rPr>
                      <w:rFonts w:eastAsia="Times New Roman" w:cs="Arial"/>
                      <w:b/>
                      <w:bCs/>
                      <w:color w:val="auto"/>
                      <w:lang w:eastAsia="en-US"/>
                    </w:rPr>
                  </w:pPr>
                  <w:r w:rsidRPr="00090673">
                    <w:rPr>
                      <w:rFonts w:eastAsia="Times New Roman" w:cs="Arial"/>
                      <w:b/>
                      <w:bCs/>
                      <w:color w:val="auto"/>
                      <w:lang w:eastAsia="en-US"/>
                    </w:rPr>
                    <w:t>Responsibilities</w:t>
                  </w:r>
                </w:p>
              </w:tc>
            </w:tr>
            <w:tr w:rsidR="00444980" w:rsidRPr="00090673" w14:paraId="1B284E29" w14:textId="77777777" w:rsidTr="00444980">
              <w:tc>
                <w:tcPr>
                  <w:tcW w:w="0" w:type="auto"/>
                  <w:hideMark/>
                </w:tcPr>
                <w:p w14:paraId="7E2FC607"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t>Signing of agreement and expected date of commencement</w:t>
                  </w:r>
                </w:p>
              </w:tc>
              <w:tc>
                <w:tcPr>
                  <w:tcW w:w="0" w:type="auto"/>
                  <w:hideMark/>
                </w:tcPr>
                <w:p w14:paraId="09CCE758" w14:textId="1A746618" w:rsidR="00444980" w:rsidRPr="00090673" w:rsidRDefault="00444980" w:rsidP="00444980">
                  <w:pPr>
                    <w:rPr>
                      <w:rFonts w:eastAsia="Times New Roman" w:cs="Arial"/>
                      <w:color w:val="auto"/>
                      <w:lang w:eastAsia="en-US"/>
                    </w:rPr>
                  </w:pPr>
                  <w:r w:rsidRPr="00090673">
                    <w:rPr>
                      <w:rFonts w:eastAsia="Times New Roman" w:cs="Arial"/>
                      <w:color w:val="auto"/>
                      <w:lang w:eastAsia="en-US"/>
                    </w:rPr>
                    <w:t>June 26</w:t>
                  </w:r>
                </w:p>
              </w:tc>
              <w:tc>
                <w:tcPr>
                  <w:tcW w:w="0" w:type="auto"/>
                  <w:hideMark/>
                </w:tcPr>
                <w:p w14:paraId="14D3C48F"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t>HFHI-B &amp; Consultant</w:t>
                  </w:r>
                </w:p>
              </w:tc>
            </w:tr>
            <w:tr w:rsidR="00444980" w:rsidRPr="00090673" w14:paraId="1FCF4CE5" w14:textId="77777777" w:rsidTr="00444980">
              <w:tc>
                <w:tcPr>
                  <w:tcW w:w="0" w:type="auto"/>
                  <w:hideMark/>
                </w:tcPr>
                <w:p w14:paraId="744B34D0"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t>Introductory meeting/orientation on the assignment</w:t>
                  </w:r>
                </w:p>
              </w:tc>
              <w:tc>
                <w:tcPr>
                  <w:tcW w:w="0" w:type="auto"/>
                  <w:hideMark/>
                </w:tcPr>
                <w:p w14:paraId="0435F911" w14:textId="4CC10075" w:rsidR="00444980" w:rsidRPr="00090673" w:rsidRDefault="00671294" w:rsidP="00444980">
                  <w:pPr>
                    <w:rPr>
                      <w:rFonts w:eastAsia="Times New Roman" w:cs="Arial"/>
                      <w:color w:val="auto"/>
                      <w:lang w:eastAsia="en-US"/>
                    </w:rPr>
                  </w:pPr>
                  <w:r w:rsidRPr="00090673">
                    <w:rPr>
                      <w:rFonts w:eastAsia="Times New Roman" w:cs="Arial"/>
                      <w:color w:val="auto"/>
                      <w:lang w:eastAsia="en-US"/>
                    </w:rPr>
                    <w:t xml:space="preserve">Within 3 working days of signing the agreement </w:t>
                  </w:r>
                </w:p>
              </w:tc>
              <w:tc>
                <w:tcPr>
                  <w:tcW w:w="0" w:type="auto"/>
                  <w:hideMark/>
                </w:tcPr>
                <w:p w14:paraId="25A0AB10"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t>HFHI-B</w:t>
                  </w:r>
                </w:p>
              </w:tc>
            </w:tr>
            <w:tr w:rsidR="00444980" w:rsidRPr="00090673" w14:paraId="352E6396" w14:textId="77777777" w:rsidTr="00444980">
              <w:tc>
                <w:tcPr>
                  <w:tcW w:w="0" w:type="auto"/>
                  <w:hideMark/>
                </w:tcPr>
                <w:p w14:paraId="6EC5BCFD"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t>Submission of inception report, work plan, methodology, sampling strategy, and draft data collection tools</w:t>
                  </w:r>
                </w:p>
              </w:tc>
              <w:tc>
                <w:tcPr>
                  <w:tcW w:w="0" w:type="auto"/>
                  <w:hideMark/>
                </w:tcPr>
                <w:p w14:paraId="32F020E9" w14:textId="2F76E269" w:rsidR="00444980" w:rsidRPr="00090673" w:rsidRDefault="00444980" w:rsidP="00444980">
                  <w:pPr>
                    <w:rPr>
                      <w:rFonts w:eastAsia="Times New Roman" w:cs="Arial"/>
                      <w:color w:val="auto"/>
                      <w:lang w:eastAsia="en-US"/>
                    </w:rPr>
                  </w:pPr>
                  <w:r w:rsidRPr="00090673">
                    <w:rPr>
                      <w:rFonts w:eastAsia="Times New Roman" w:cs="Arial"/>
                      <w:color w:val="auto"/>
                      <w:lang w:eastAsia="en-US"/>
                    </w:rPr>
                    <w:t xml:space="preserve">Within </w:t>
                  </w:r>
                  <w:r w:rsidR="00646BA9" w:rsidRPr="00090673">
                    <w:rPr>
                      <w:rFonts w:eastAsia="Times New Roman" w:cs="Arial"/>
                      <w:color w:val="auto"/>
                      <w:lang w:eastAsia="en-US"/>
                    </w:rPr>
                    <w:t>5</w:t>
                  </w:r>
                  <w:r w:rsidRPr="00090673">
                    <w:rPr>
                      <w:rFonts w:eastAsia="Times New Roman" w:cs="Arial"/>
                      <w:color w:val="auto"/>
                      <w:lang w:eastAsia="en-US"/>
                    </w:rPr>
                    <w:t xml:space="preserve"> working days after signing of agreement and orientation</w:t>
                  </w:r>
                </w:p>
              </w:tc>
              <w:tc>
                <w:tcPr>
                  <w:tcW w:w="0" w:type="auto"/>
                  <w:hideMark/>
                </w:tcPr>
                <w:p w14:paraId="412B4CCE"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t>Consultant</w:t>
                  </w:r>
                </w:p>
              </w:tc>
            </w:tr>
            <w:tr w:rsidR="00444980" w:rsidRPr="00090673" w14:paraId="7A60755D" w14:textId="77777777" w:rsidTr="00444980">
              <w:tc>
                <w:tcPr>
                  <w:tcW w:w="0" w:type="auto"/>
                  <w:hideMark/>
                </w:tcPr>
                <w:p w14:paraId="4FAF48C8"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lastRenderedPageBreak/>
                    <w:t>Review and feedback on inception report and tools</w:t>
                  </w:r>
                </w:p>
              </w:tc>
              <w:tc>
                <w:tcPr>
                  <w:tcW w:w="0" w:type="auto"/>
                  <w:hideMark/>
                </w:tcPr>
                <w:p w14:paraId="128811F3"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t>Within 3 working days after submission</w:t>
                  </w:r>
                </w:p>
              </w:tc>
              <w:tc>
                <w:tcPr>
                  <w:tcW w:w="0" w:type="auto"/>
                  <w:hideMark/>
                </w:tcPr>
                <w:p w14:paraId="09256355"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t>HFHI-B</w:t>
                  </w:r>
                </w:p>
              </w:tc>
            </w:tr>
            <w:tr w:rsidR="00444980" w:rsidRPr="00090673" w14:paraId="394208E2" w14:textId="77777777" w:rsidTr="00444980">
              <w:tc>
                <w:tcPr>
                  <w:tcW w:w="0" w:type="auto"/>
                  <w:hideMark/>
                </w:tcPr>
                <w:p w14:paraId="6183678B"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t>Finalization and field testing/piloting of tools</w:t>
                  </w:r>
                </w:p>
              </w:tc>
              <w:tc>
                <w:tcPr>
                  <w:tcW w:w="0" w:type="auto"/>
                  <w:hideMark/>
                </w:tcPr>
                <w:p w14:paraId="09283BF5"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t>Within 3 working days after receiving feedback</w:t>
                  </w:r>
                </w:p>
              </w:tc>
              <w:tc>
                <w:tcPr>
                  <w:tcW w:w="0" w:type="auto"/>
                  <w:hideMark/>
                </w:tcPr>
                <w:p w14:paraId="6790CE2A"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t>Consultant</w:t>
                  </w:r>
                </w:p>
              </w:tc>
            </w:tr>
            <w:tr w:rsidR="00444980" w:rsidRPr="00090673" w14:paraId="76742900" w14:textId="77777777" w:rsidTr="00444980">
              <w:tc>
                <w:tcPr>
                  <w:tcW w:w="0" w:type="auto"/>
                  <w:hideMark/>
                </w:tcPr>
                <w:p w14:paraId="355BA7F5"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t>Primary data collection, stakeholder consultations, workshops, and field observations</w:t>
                  </w:r>
                </w:p>
              </w:tc>
              <w:tc>
                <w:tcPr>
                  <w:tcW w:w="0" w:type="auto"/>
                  <w:hideMark/>
                </w:tcPr>
                <w:p w14:paraId="18474463"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t>15–20 working days</w:t>
                  </w:r>
                </w:p>
              </w:tc>
              <w:tc>
                <w:tcPr>
                  <w:tcW w:w="0" w:type="auto"/>
                  <w:hideMark/>
                </w:tcPr>
                <w:p w14:paraId="01175067"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t>Consultant</w:t>
                  </w:r>
                </w:p>
              </w:tc>
            </w:tr>
            <w:tr w:rsidR="00444980" w:rsidRPr="00090673" w14:paraId="4838A51C" w14:textId="77777777" w:rsidTr="00444980">
              <w:tc>
                <w:tcPr>
                  <w:tcW w:w="0" w:type="auto"/>
                  <w:hideMark/>
                </w:tcPr>
                <w:p w14:paraId="6155DDEF"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t>Data processing, analysis, and synthesis of findings</w:t>
                  </w:r>
                </w:p>
              </w:tc>
              <w:tc>
                <w:tcPr>
                  <w:tcW w:w="0" w:type="auto"/>
                  <w:hideMark/>
                </w:tcPr>
                <w:p w14:paraId="363005A6"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t>5 working days</w:t>
                  </w:r>
                </w:p>
              </w:tc>
              <w:tc>
                <w:tcPr>
                  <w:tcW w:w="0" w:type="auto"/>
                  <w:hideMark/>
                </w:tcPr>
                <w:p w14:paraId="6B557364"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t>Consultant</w:t>
                  </w:r>
                </w:p>
              </w:tc>
            </w:tr>
            <w:tr w:rsidR="00444980" w:rsidRPr="00090673" w14:paraId="628E691E" w14:textId="77777777" w:rsidTr="00444980">
              <w:tc>
                <w:tcPr>
                  <w:tcW w:w="0" w:type="auto"/>
                  <w:hideMark/>
                </w:tcPr>
                <w:p w14:paraId="4022FEA9"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t>Submission of draft report and draft expanded urban programming framework</w:t>
                  </w:r>
                </w:p>
              </w:tc>
              <w:tc>
                <w:tcPr>
                  <w:tcW w:w="0" w:type="auto"/>
                  <w:hideMark/>
                </w:tcPr>
                <w:p w14:paraId="19906AEB"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t>Within 7 working days after completion of fieldwork</w:t>
                  </w:r>
                </w:p>
              </w:tc>
              <w:tc>
                <w:tcPr>
                  <w:tcW w:w="0" w:type="auto"/>
                  <w:hideMark/>
                </w:tcPr>
                <w:p w14:paraId="546284D3"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t>Consultant</w:t>
                  </w:r>
                </w:p>
              </w:tc>
            </w:tr>
            <w:tr w:rsidR="00444980" w:rsidRPr="00090673" w14:paraId="58BBB7F6" w14:textId="77777777" w:rsidTr="00444980">
              <w:tc>
                <w:tcPr>
                  <w:tcW w:w="0" w:type="auto"/>
                  <w:hideMark/>
                </w:tcPr>
                <w:p w14:paraId="0C639545"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t>Review and feedback on draft report and framework</w:t>
                  </w:r>
                </w:p>
              </w:tc>
              <w:tc>
                <w:tcPr>
                  <w:tcW w:w="0" w:type="auto"/>
                  <w:hideMark/>
                </w:tcPr>
                <w:p w14:paraId="636224B9"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t>Within 5 working days after submission</w:t>
                  </w:r>
                </w:p>
              </w:tc>
              <w:tc>
                <w:tcPr>
                  <w:tcW w:w="0" w:type="auto"/>
                  <w:hideMark/>
                </w:tcPr>
                <w:p w14:paraId="4727B0F0"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t>HFHI-B</w:t>
                  </w:r>
                </w:p>
              </w:tc>
            </w:tr>
            <w:tr w:rsidR="00444980" w:rsidRPr="00090673" w14:paraId="1783744B" w14:textId="77777777" w:rsidTr="00444980">
              <w:tc>
                <w:tcPr>
                  <w:tcW w:w="0" w:type="auto"/>
                  <w:hideMark/>
                </w:tcPr>
                <w:p w14:paraId="265B2CCF"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t>Submission of final report and finalized programming framework</w:t>
                  </w:r>
                </w:p>
              </w:tc>
              <w:tc>
                <w:tcPr>
                  <w:tcW w:w="0" w:type="auto"/>
                  <w:hideMark/>
                </w:tcPr>
                <w:p w14:paraId="12D2BF3E"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t>Within 5 working days after receiving consolidated feedback</w:t>
                  </w:r>
                </w:p>
              </w:tc>
              <w:tc>
                <w:tcPr>
                  <w:tcW w:w="0" w:type="auto"/>
                  <w:hideMark/>
                </w:tcPr>
                <w:p w14:paraId="39FF7049"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t>Consultant</w:t>
                  </w:r>
                </w:p>
              </w:tc>
            </w:tr>
            <w:tr w:rsidR="00444980" w:rsidRPr="00090673" w14:paraId="398212EB" w14:textId="77777777" w:rsidTr="00444980">
              <w:tc>
                <w:tcPr>
                  <w:tcW w:w="0" w:type="auto"/>
                  <w:hideMark/>
                </w:tcPr>
                <w:p w14:paraId="29111792"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t>Review and approval of final report</w:t>
                  </w:r>
                </w:p>
              </w:tc>
              <w:tc>
                <w:tcPr>
                  <w:tcW w:w="0" w:type="auto"/>
                  <w:hideMark/>
                </w:tcPr>
                <w:p w14:paraId="0FC209F8"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t>Within 3 working days after submission</w:t>
                  </w:r>
                </w:p>
              </w:tc>
              <w:tc>
                <w:tcPr>
                  <w:tcW w:w="0" w:type="auto"/>
                  <w:hideMark/>
                </w:tcPr>
                <w:p w14:paraId="22051EFA"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t>HFHI-B</w:t>
                  </w:r>
                </w:p>
              </w:tc>
            </w:tr>
            <w:tr w:rsidR="00444980" w:rsidRPr="00090673" w14:paraId="1F8FA2A9" w14:textId="77777777" w:rsidTr="00444980">
              <w:tc>
                <w:tcPr>
                  <w:tcW w:w="0" w:type="auto"/>
                  <w:hideMark/>
                </w:tcPr>
                <w:p w14:paraId="4E1CA0C1"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t>Submission of final approved report, framework, datasets, and all supporting documents</w:t>
                  </w:r>
                </w:p>
              </w:tc>
              <w:tc>
                <w:tcPr>
                  <w:tcW w:w="0" w:type="auto"/>
                  <w:hideMark/>
                </w:tcPr>
                <w:p w14:paraId="3B4FEEB8"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t>Within 3 working days after approval</w:t>
                  </w:r>
                </w:p>
              </w:tc>
              <w:tc>
                <w:tcPr>
                  <w:tcW w:w="0" w:type="auto"/>
                  <w:hideMark/>
                </w:tcPr>
                <w:p w14:paraId="0485E42F" w14:textId="77777777" w:rsidR="00444980" w:rsidRPr="00090673" w:rsidRDefault="00444980" w:rsidP="00444980">
                  <w:pPr>
                    <w:rPr>
                      <w:rFonts w:eastAsia="Times New Roman" w:cs="Arial"/>
                      <w:color w:val="auto"/>
                      <w:lang w:eastAsia="en-US"/>
                    </w:rPr>
                  </w:pPr>
                  <w:r w:rsidRPr="00090673">
                    <w:rPr>
                      <w:rFonts w:eastAsia="Times New Roman" w:cs="Arial"/>
                      <w:color w:val="auto"/>
                      <w:lang w:eastAsia="en-US"/>
                    </w:rPr>
                    <w:t>Consultant</w:t>
                  </w:r>
                </w:p>
              </w:tc>
            </w:tr>
          </w:tbl>
          <w:p w14:paraId="0F273E6A" w14:textId="77777777" w:rsidR="008A0109" w:rsidRPr="00090673" w:rsidRDefault="008A0109" w:rsidP="00EA7530">
            <w:pPr>
              <w:jc w:val="both"/>
              <w:rPr>
                <w:rFonts w:cs="Arial"/>
                <w:b/>
                <w:bCs/>
              </w:rPr>
            </w:pPr>
          </w:p>
          <w:p w14:paraId="57E4040A" w14:textId="3A23F7FA" w:rsidR="002E599D" w:rsidRPr="00090673" w:rsidRDefault="002E599D" w:rsidP="002E599D">
            <w:pPr>
              <w:jc w:val="both"/>
              <w:rPr>
                <w:rFonts w:eastAsia="Calibri" w:cs="Arial"/>
                <w:b/>
                <w:bCs/>
              </w:rPr>
            </w:pPr>
            <w:r w:rsidRPr="00090673">
              <w:rPr>
                <w:rFonts w:eastAsia="Calibri" w:cs="Arial"/>
                <w:b/>
                <w:bCs/>
              </w:rPr>
              <w:t>Deliverables</w:t>
            </w:r>
          </w:p>
          <w:p w14:paraId="3FA7CE70" w14:textId="77777777" w:rsidR="002E599D" w:rsidRPr="00090673" w:rsidRDefault="002E599D" w:rsidP="002E599D">
            <w:pPr>
              <w:jc w:val="both"/>
              <w:rPr>
                <w:rFonts w:eastAsia="Calibri" w:cs="Arial"/>
              </w:rPr>
            </w:pPr>
            <w:r w:rsidRPr="00090673">
              <w:rPr>
                <w:rFonts w:eastAsia="Calibri" w:cs="Arial"/>
              </w:rPr>
              <w:t>The Consultant/team will be responsible for producing the following deliverables:</w:t>
            </w:r>
          </w:p>
          <w:p w14:paraId="2DA03E77" w14:textId="77777777" w:rsidR="0001634B" w:rsidRPr="00090673" w:rsidRDefault="002E599D">
            <w:pPr>
              <w:pStyle w:val="ListParagraph"/>
              <w:numPr>
                <w:ilvl w:val="0"/>
                <w:numId w:val="15"/>
              </w:numPr>
              <w:jc w:val="both"/>
              <w:rPr>
                <w:rFonts w:ascii="Arial" w:hAnsi="Arial" w:cs="Arial"/>
                <w:sz w:val="22"/>
                <w:szCs w:val="22"/>
              </w:rPr>
            </w:pPr>
            <w:r w:rsidRPr="00090673">
              <w:rPr>
                <w:rFonts w:ascii="Arial" w:hAnsi="Arial" w:cs="Arial"/>
                <w:b/>
                <w:bCs/>
                <w:sz w:val="22"/>
                <w:szCs w:val="22"/>
              </w:rPr>
              <w:t>Inception Report</w:t>
            </w:r>
            <w:r w:rsidRPr="00090673">
              <w:rPr>
                <w:rFonts w:ascii="Arial" w:hAnsi="Arial" w:cs="Arial"/>
                <w:sz w:val="22"/>
                <w:szCs w:val="22"/>
              </w:rPr>
              <w:t xml:space="preserve"> (maximum 10 pages) outlining the detailed methodology, work plan, evaluation framework, sampling strategy, stakeholder engagement approach, environmental assessment approach, data collection tools, and implementation timeline. The inception report shall be submitted within five (5) working days after signing the contract and orientation meeting for review and approval by HFHI-B. </w:t>
            </w:r>
          </w:p>
          <w:p w14:paraId="437FF37E" w14:textId="77777777" w:rsidR="0001634B" w:rsidRPr="00090673" w:rsidRDefault="002E599D">
            <w:pPr>
              <w:pStyle w:val="ListParagraph"/>
              <w:numPr>
                <w:ilvl w:val="0"/>
                <w:numId w:val="15"/>
              </w:numPr>
              <w:jc w:val="both"/>
              <w:rPr>
                <w:rFonts w:ascii="Arial" w:hAnsi="Arial" w:cs="Arial"/>
                <w:sz w:val="22"/>
                <w:szCs w:val="22"/>
              </w:rPr>
            </w:pPr>
            <w:r w:rsidRPr="00090673">
              <w:rPr>
                <w:rFonts w:ascii="Arial" w:hAnsi="Arial" w:cs="Arial"/>
                <w:b/>
                <w:bCs/>
                <w:sz w:val="22"/>
                <w:szCs w:val="22"/>
              </w:rPr>
              <w:t>Data Collection Tools</w:t>
            </w:r>
            <w:r w:rsidRPr="00090673">
              <w:rPr>
                <w:rFonts w:ascii="Arial" w:hAnsi="Arial" w:cs="Arial"/>
                <w:sz w:val="22"/>
                <w:szCs w:val="22"/>
              </w:rPr>
              <w:t xml:space="preserve"> including survey questionnaires, FGD/KII/IDI guidelines, workshop facilitation guides, observation checklists, and any other relevant tools finalized in consultation with HFHI-B. </w:t>
            </w:r>
          </w:p>
          <w:p w14:paraId="1002CE64" w14:textId="77777777" w:rsidR="0001634B" w:rsidRPr="00090673" w:rsidRDefault="002E599D">
            <w:pPr>
              <w:pStyle w:val="ListParagraph"/>
              <w:numPr>
                <w:ilvl w:val="0"/>
                <w:numId w:val="15"/>
              </w:numPr>
              <w:jc w:val="both"/>
              <w:rPr>
                <w:rFonts w:ascii="Arial" w:hAnsi="Arial" w:cs="Arial"/>
                <w:sz w:val="22"/>
                <w:szCs w:val="22"/>
              </w:rPr>
            </w:pPr>
            <w:r w:rsidRPr="00090673">
              <w:rPr>
                <w:rFonts w:ascii="Arial" w:hAnsi="Arial" w:cs="Arial"/>
                <w:b/>
                <w:bCs/>
                <w:sz w:val="22"/>
                <w:szCs w:val="22"/>
              </w:rPr>
              <w:t>Draft Report</w:t>
            </w:r>
            <w:r w:rsidRPr="00090673">
              <w:rPr>
                <w:rFonts w:ascii="Arial" w:hAnsi="Arial" w:cs="Arial"/>
                <w:sz w:val="22"/>
                <w:szCs w:val="22"/>
              </w:rPr>
              <w:t xml:space="preserve"> containing preliminary findings, analysis, conclusions, lessons learned, gap and opportunity analysis, and draft recommendations, including a draft expanded urban programming framework. The draft report shall be submitted within seven (7) working days after completion of fieldwork and shall be accompanied by cleaned datasets, transcripts, field notes, and other relevant documentation. </w:t>
            </w:r>
          </w:p>
          <w:p w14:paraId="536D3F9D" w14:textId="77777777" w:rsidR="0001634B" w:rsidRPr="00090673" w:rsidRDefault="002E599D">
            <w:pPr>
              <w:pStyle w:val="ListParagraph"/>
              <w:numPr>
                <w:ilvl w:val="0"/>
                <w:numId w:val="15"/>
              </w:numPr>
              <w:jc w:val="both"/>
              <w:rPr>
                <w:rFonts w:ascii="Arial" w:hAnsi="Arial" w:cs="Arial"/>
                <w:sz w:val="22"/>
                <w:szCs w:val="22"/>
              </w:rPr>
            </w:pPr>
            <w:r w:rsidRPr="00090673">
              <w:rPr>
                <w:rFonts w:ascii="Arial" w:hAnsi="Arial" w:cs="Arial"/>
                <w:b/>
                <w:bCs/>
                <w:sz w:val="22"/>
                <w:szCs w:val="22"/>
              </w:rPr>
              <w:t>Validation/Findings Sharing Workshop</w:t>
            </w:r>
            <w:r w:rsidRPr="00090673">
              <w:rPr>
                <w:rFonts w:ascii="Arial" w:hAnsi="Arial" w:cs="Arial"/>
                <w:sz w:val="22"/>
                <w:szCs w:val="22"/>
              </w:rPr>
              <w:t xml:space="preserve"> to present and discuss preliminary findings, validate recommendations, and gather stakeholder feedback. </w:t>
            </w:r>
          </w:p>
          <w:p w14:paraId="138EAA56" w14:textId="77777777" w:rsidR="0001634B" w:rsidRPr="00090673" w:rsidRDefault="002E599D">
            <w:pPr>
              <w:pStyle w:val="ListParagraph"/>
              <w:numPr>
                <w:ilvl w:val="0"/>
                <w:numId w:val="15"/>
              </w:numPr>
              <w:jc w:val="both"/>
              <w:rPr>
                <w:rFonts w:ascii="Arial" w:hAnsi="Arial" w:cs="Arial"/>
                <w:sz w:val="22"/>
                <w:szCs w:val="22"/>
              </w:rPr>
            </w:pPr>
            <w:r w:rsidRPr="00090673">
              <w:rPr>
                <w:rFonts w:ascii="Arial" w:hAnsi="Arial" w:cs="Arial"/>
                <w:b/>
                <w:bCs/>
                <w:sz w:val="22"/>
                <w:szCs w:val="22"/>
              </w:rPr>
              <w:t>Final Report</w:t>
            </w:r>
            <w:r w:rsidRPr="00090673">
              <w:rPr>
                <w:rFonts w:ascii="Arial" w:hAnsi="Arial" w:cs="Arial"/>
                <w:sz w:val="22"/>
                <w:szCs w:val="22"/>
              </w:rPr>
              <w:t xml:space="preserve"> incorporating feedback from HFHI-B and stakeholders. The final report should include executive summary, methodology, findings, conclusions, lessons learned, recommendations, environmental sustainability assessment findings, and the finalized expanded urban programming framework. The final report should be a maximum of 60 pages excluding annexes. </w:t>
            </w:r>
          </w:p>
          <w:p w14:paraId="516F9FF1" w14:textId="77777777" w:rsidR="0001634B" w:rsidRPr="00090673" w:rsidRDefault="002E599D">
            <w:pPr>
              <w:pStyle w:val="ListParagraph"/>
              <w:numPr>
                <w:ilvl w:val="0"/>
                <w:numId w:val="15"/>
              </w:numPr>
              <w:jc w:val="both"/>
              <w:rPr>
                <w:rFonts w:ascii="Arial" w:hAnsi="Arial" w:cs="Arial"/>
                <w:sz w:val="22"/>
                <w:szCs w:val="22"/>
              </w:rPr>
            </w:pPr>
            <w:r w:rsidRPr="00090673">
              <w:rPr>
                <w:rFonts w:ascii="Arial" w:hAnsi="Arial" w:cs="Arial"/>
                <w:b/>
                <w:bCs/>
                <w:sz w:val="22"/>
                <w:szCs w:val="22"/>
              </w:rPr>
              <w:t>Expanded Urban Programming Framework</w:t>
            </w:r>
            <w:r w:rsidRPr="00090673">
              <w:rPr>
                <w:rFonts w:ascii="Arial" w:hAnsi="Arial" w:cs="Arial"/>
                <w:sz w:val="22"/>
                <w:szCs w:val="22"/>
              </w:rPr>
              <w:t xml:space="preserve"> as a standalone annex or companion document outlining strategic priorities, scalable models, </w:t>
            </w:r>
            <w:proofErr w:type="gramStart"/>
            <w:r w:rsidRPr="00090673">
              <w:rPr>
                <w:rFonts w:ascii="Arial" w:hAnsi="Arial" w:cs="Arial"/>
                <w:sz w:val="22"/>
                <w:szCs w:val="22"/>
              </w:rPr>
              <w:t>systems</w:t>
            </w:r>
            <w:proofErr w:type="gramEnd"/>
            <w:r w:rsidRPr="00090673">
              <w:rPr>
                <w:rFonts w:ascii="Arial" w:hAnsi="Arial" w:cs="Arial"/>
                <w:sz w:val="22"/>
                <w:szCs w:val="22"/>
              </w:rPr>
              <w:t xml:space="preserve">-change approaches, partnership opportunities, financing pathways, and implementation recommendations for future urban programming. </w:t>
            </w:r>
          </w:p>
          <w:p w14:paraId="1D829C90" w14:textId="77777777" w:rsidR="0001634B" w:rsidRPr="00090673" w:rsidRDefault="002E599D">
            <w:pPr>
              <w:pStyle w:val="ListParagraph"/>
              <w:numPr>
                <w:ilvl w:val="0"/>
                <w:numId w:val="15"/>
              </w:numPr>
              <w:jc w:val="both"/>
              <w:rPr>
                <w:rFonts w:ascii="Arial" w:hAnsi="Arial" w:cs="Arial"/>
                <w:sz w:val="22"/>
                <w:szCs w:val="22"/>
              </w:rPr>
            </w:pPr>
            <w:r w:rsidRPr="00090673">
              <w:rPr>
                <w:rFonts w:ascii="Arial" w:hAnsi="Arial" w:cs="Arial"/>
                <w:b/>
                <w:bCs/>
                <w:sz w:val="22"/>
                <w:szCs w:val="22"/>
              </w:rPr>
              <w:t>Final Deliverables Submission</w:t>
            </w:r>
            <w:r w:rsidRPr="00090673">
              <w:rPr>
                <w:rFonts w:ascii="Arial" w:hAnsi="Arial" w:cs="Arial"/>
                <w:sz w:val="22"/>
                <w:szCs w:val="22"/>
              </w:rPr>
              <w:t xml:space="preserve"> </w:t>
            </w:r>
          </w:p>
          <w:p w14:paraId="3EEB9B53" w14:textId="24F1F222" w:rsidR="002E599D" w:rsidRPr="00090673" w:rsidRDefault="002E599D">
            <w:pPr>
              <w:pStyle w:val="ListParagraph"/>
              <w:numPr>
                <w:ilvl w:val="1"/>
                <w:numId w:val="15"/>
              </w:numPr>
              <w:jc w:val="both"/>
              <w:rPr>
                <w:rFonts w:ascii="Arial" w:hAnsi="Arial" w:cs="Arial"/>
                <w:sz w:val="22"/>
                <w:szCs w:val="22"/>
              </w:rPr>
            </w:pPr>
            <w:r w:rsidRPr="00090673">
              <w:rPr>
                <w:rFonts w:ascii="Arial" w:hAnsi="Arial" w:cs="Arial"/>
                <w:sz w:val="22"/>
                <w:szCs w:val="22"/>
              </w:rPr>
              <w:t>0</w:t>
            </w:r>
            <w:r w:rsidR="00AA36B3" w:rsidRPr="00090673">
              <w:rPr>
                <w:rFonts w:ascii="Arial" w:hAnsi="Arial" w:cs="Arial"/>
                <w:sz w:val="22"/>
                <w:szCs w:val="22"/>
              </w:rPr>
              <w:t>3</w:t>
            </w:r>
            <w:r w:rsidRPr="00090673">
              <w:rPr>
                <w:rFonts w:ascii="Arial" w:hAnsi="Arial" w:cs="Arial"/>
                <w:sz w:val="22"/>
                <w:szCs w:val="22"/>
              </w:rPr>
              <w:t xml:space="preserve"> hard copies (color print) of the final report and framework; </w:t>
            </w:r>
          </w:p>
          <w:p w14:paraId="6FB29551" w14:textId="77777777" w:rsidR="002E599D" w:rsidRPr="00090673" w:rsidRDefault="002E599D">
            <w:pPr>
              <w:numPr>
                <w:ilvl w:val="1"/>
                <w:numId w:val="14"/>
              </w:numPr>
              <w:jc w:val="both"/>
              <w:rPr>
                <w:rFonts w:eastAsia="Calibri" w:cs="Arial"/>
              </w:rPr>
            </w:pPr>
            <w:r w:rsidRPr="00090673">
              <w:rPr>
                <w:rFonts w:eastAsia="Calibri" w:cs="Arial"/>
              </w:rPr>
              <w:t xml:space="preserve">01 electronic copy in both Word and PDF formats; </w:t>
            </w:r>
          </w:p>
          <w:p w14:paraId="31174049" w14:textId="77777777" w:rsidR="002E599D" w:rsidRPr="00090673" w:rsidRDefault="002E599D">
            <w:pPr>
              <w:numPr>
                <w:ilvl w:val="1"/>
                <w:numId w:val="14"/>
              </w:numPr>
              <w:jc w:val="both"/>
              <w:rPr>
                <w:rFonts w:eastAsia="Calibri" w:cs="Arial"/>
              </w:rPr>
            </w:pPr>
            <w:r w:rsidRPr="00090673">
              <w:rPr>
                <w:rFonts w:eastAsia="Calibri" w:cs="Arial"/>
              </w:rPr>
              <w:t xml:space="preserve">Raw datasets, transcripts, workshop notes, photographs (if applicable), and cleaned databases; </w:t>
            </w:r>
          </w:p>
          <w:p w14:paraId="4B1F83C7" w14:textId="0DE462B9" w:rsidR="00FD3172" w:rsidRPr="00724057" w:rsidRDefault="002E599D" w:rsidP="00FD3172">
            <w:pPr>
              <w:numPr>
                <w:ilvl w:val="1"/>
                <w:numId w:val="14"/>
              </w:numPr>
              <w:jc w:val="both"/>
              <w:rPr>
                <w:rFonts w:eastAsia="Calibri" w:cs="Arial"/>
              </w:rPr>
            </w:pPr>
            <w:r w:rsidRPr="00090673">
              <w:rPr>
                <w:rFonts w:eastAsia="Calibri" w:cs="Arial"/>
              </w:rPr>
              <w:t>Presentation slides and other relevant supporting materials generated during the assignment.</w:t>
            </w:r>
          </w:p>
        </w:tc>
      </w:tr>
      <w:tr w:rsidR="00B27F6C" w:rsidRPr="00090673" w14:paraId="3BD9A703" w14:textId="77777777" w:rsidTr="00E32DF1">
        <w:trPr>
          <w:trHeight w:val="31"/>
        </w:trPr>
        <w:tc>
          <w:tcPr>
            <w:tcW w:w="9545" w:type="dxa"/>
            <w:shd w:val="clear" w:color="auto" w:fill="D9E2F3"/>
          </w:tcPr>
          <w:p w14:paraId="4CF3B0FD" w14:textId="77777777" w:rsidR="00B27F6C" w:rsidRPr="00090673" w:rsidRDefault="00B27F6C" w:rsidP="00452FB9">
            <w:pPr>
              <w:numPr>
                <w:ilvl w:val="0"/>
                <w:numId w:val="1"/>
              </w:numPr>
              <w:ind w:left="720"/>
              <w:rPr>
                <w:rFonts w:eastAsia="Calibri" w:cs="Arial"/>
                <w:b/>
                <w:bCs/>
                <w:iCs/>
              </w:rPr>
            </w:pPr>
            <w:r w:rsidRPr="00090673">
              <w:rPr>
                <w:rFonts w:eastAsia="Calibri" w:cs="Arial"/>
                <w:b/>
                <w:bCs/>
                <w:iCs/>
              </w:rPr>
              <w:lastRenderedPageBreak/>
              <w:t>Reporting Requirements</w:t>
            </w:r>
          </w:p>
        </w:tc>
      </w:tr>
      <w:tr w:rsidR="00DC67DC" w:rsidRPr="00090673" w14:paraId="1E6A9A74" w14:textId="77777777" w:rsidTr="00B27F6C">
        <w:trPr>
          <w:trHeight w:val="530"/>
        </w:trPr>
        <w:tc>
          <w:tcPr>
            <w:tcW w:w="9545" w:type="dxa"/>
          </w:tcPr>
          <w:p w14:paraId="27E8F469" w14:textId="461FF0AB" w:rsidR="00734A51" w:rsidRPr="00090673" w:rsidRDefault="00734A51">
            <w:pPr>
              <w:pStyle w:val="ListParagraph"/>
              <w:numPr>
                <w:ilvl w:val="0"/>
                <w:numId w:val="18"/>
              </w:numPr>
              <w:jc w:val="both"/>
              <w:rPr>
                <w:rFonts w:ascii="Arial" w:hAnsi="Arial" w:cs="Arial"/>
                <w:b/>
              </w:rPr>
            </w:pPr>
            <w:r w:rsidRPr="00090673">
              <w:rPr>
                <w:rFonts w:ascii="Arial" w:hAnsi="Arial" w:cs="Arial"/>
                <w:b/>
              </w:rPr>
              <w:t xml:space="preserve">Outline of the </w:t>
            </w:r>
            <w:r w:rsidR="003B6762" w:rsidRPr="00090673">
              <w:rPr>
                <w:rFonts w:ascii="Arial" w:hAnsi="Arial" w:cs="Arial"/>
                <w:b/>
              </w:rPr>
              <w:t xml:space="preserve">Impact study </w:t>
            </w:r>
            <w:r w:rsidRPr="00090673">
              <w:rPr>
                <w:rFonts w:ascii="Arial" w:hAnsi="Arial" w:cs="Arial"/>
                <w:b/>
              </w:rPr>
              <w:t>Report</w:t>
            </w:r>
          </w:p>
          <w:p w14:paraId="0536E9BF" w14:textId="72B8E711" w:rsidR="00E56C35" w:rsidRPr="00090673" w:rsidRDefault="00E56C35" w:rsidP="00E56C35">
            <w:pPr>
              <w:pStyle w:val="NormalWeb"/>
              <w:rPr>
                <w:rFonts w:cs="Arial"/>
                <w:color w:val="auto"/>
                <w:sz w:val="22"/>
                <w:szCs w:val="22"/>
                <w:lang w:eastAsia="en-US"/>
              </w:rPr>
            </w:pPr>
            <w:r w:rsidRPr="00090673">
              <w:rPr>
                <w:rStyle w:val="Strong"/>
                <w:rFonts w:cs="Arial"/>
                <w:sz w:val="22"/>
                <w:szCs w:val="22"/>
              </w:rPr>
              <w:t>Title:</w:t>
            </w:r>
            <w:r w:rsidRPr="00090673">
              <w:rPr>
                <w:rFonts w:cs="Arial"/>
                <w:sz w:val="22"/>
                <w:szCs w:val="22"/>
              </w:rPr>
              <w:t xml:space="preserve"> Impact Study of Community Driven Inclusive Urban Resilience in Informal Settlements– HFHI-Bangladesh</w:t>
            </w:r>
          </w:p>
          <w:p w14:paraId="28E6CF9A" w14:textId="77777777" w:rsidR="00891D44" w:rsidRPr="00090673" w:rsidRDefault="00E56C35" w:rsidP="00891D44">
            <w:pPr>
              <w:pStyle w:val="Heading3"/>
              <w:rPr>
                <w:rFonts w:ascii="Arial" w:hAnsi="Arial" w:cs="Arial"/>
                <w:b/>
                <w:bCs/>
                <w:color w:val="auto"/>
                <w:sz w:val="22"/>
                <w:szCs w:val="22"/>
              </w:rPr>
            </w:pPr>
            <w:r w:rsidRPr="00090673">
              <w:rPr>
                <w:rFonts w:ascii="Arial" w:hAnsi="Arial" w:cs="Arial"/>
                <w:b/>
                <w:bCs/>
                <w:color w:val="auto"/>
                <w:sz w:val="22"/>
                <w:szCs w:val="22"/>
              </w:rPr>
              <w:t>Preliminary Pages</w:t>
            </w:r>
          </w:p>
          <w:p w14:paraId="6594A465" w14:textId="77777777" w:rsidR="00891D44" w:rsidRPr="00090673" w:rsidRDefault="00E56C35">
            <w:pPr>
              <w:pStyle w:val="Heading3"/>
              <w:numPr>
                <w:ilvl w:val="0"/>
                <w:numId w:val="17"/>
              </w:numPr>
              <w:rPr>
                <w:rFonts w:ascii="Arial" w:hAnsi="Arial" w:cs="Arial"/>
                <w:color w:val="auto"/>
                <w:sz w:val="22"/>
                <w:szCs w:val="22"/>
              </w:rPr>
            </w:pPr>
            <w:r w:rsidRPr="00090673">
              <w:rPr>
                <w:rFonts w:ascii="Arial" w:hAnsi="Arial" w:cs="Arial"/>
                <w:color w:val="auto"/>
                <w:sz w:val="22"/>
                <w:szCs w:val="22"/>
              </w:rPr>
              <w:t>Cover pag</w:t>
            </w:r>
            <w:r w:rsidR="00891D44" w:rsidRPr="00090673">
              <w:rPr>
                <w:rFonts w:ascii="Arial" w:hAnsi="Arial" w:cs="Arial"/>
                <w:color w:val="auto"/>
                <w:sz w:val="22"/>
                <w:szCs w:val="22"/>
              </w:rPr>
              <w:t>e</w:t>
            </w:r>
          </w:p>
          <w:p w14:paraId="6CC6B38C" w14:textId="77777777" w:rsidR="006B6531" w:rsidRPr="00090673" w:rsidRDefault="00E56C35">
            <w:pPr>
              <w:pStyle w:val="Heading3"/>
              <w:numPr>
                <w:ilvl w:val="0"/>
                <w:numId w:val="17"/>
              </w:numPr>
              <w:rPr>
                <w:rFonts w:ascii="Arial" w:hAnsi="Arial" w:cs="Arial"/>
                <w:color w:val="auto"/>
                <w:sz w:val="22"/>
                <w:szCs w:val="22"/>
              </w:rPr>
            </w:pPr>
            <w:r w:rsidRPr="00090673">
              <w:rPr>
                <w:rFonts w:ascii="Arial" w:hAnsi="Arial" w:cs="Arial"/>
                <w:color w:val="auto"/>
                <w:sz w:val="22"/>
                <w:szCs w:val="22"/>
              </w:rPr>
              <w:t>Table of contents</w:t>
            </w:r>
          </w:p>
          <w:p w14:paraId="4A847572" w14:textId="77777777" w:rsidR="006B6531" w:rsidRPr="00090673" w:rsidRDefault="00E56C35">
            <w:pPr>
              <w:pStyle w:val="Heading3"/>
              <w:numPr>
                <w:ilvl w:val="0"/>
                <w:numId w:val="17"/>
              </w:numPr>
              <w:rPr>
                <w:rFonts w:ascii="Arial" w:hAnsi="Arial" w:cs="Arial"/>
                <w:color w:val="auto"/>
                <w:sz w:val="22"/>
                <w:szCs w:val="22"/>
              </w:rPr>
            </w:pPr>
            <w:r w:rsidRPr="00090673">
              <w:rPr>
                <w:rFonts w:ascii="Arial" w:hAnsi="Arial" w:cs="Arial"/>
                <w:color w:val="auto"/>
                <w:sz w:val="22"/>
                <w:szCs w:val="22"/>
              </w:rPr>
              <w:t>Acronyms</w:t>
            </w:r>
          </w:p>
          <w:p w14:paraId="4FFBA0D5" w14:textId="77777777" w:rsidR="006B6531" w:rsidRPr="00090673" w:rsidRDefault="00E56C35">
            <w:pPr>
              <w:pStyle w:val="Heading3"/>
              <w:numPr>
                <w:ilvl w:val="0"/>
                <w:numId w:val="17"/>
              </w:numPr>
              <w:rPr>
                <w:rFonts w:ascii="Arial" w:hAnsi="Arial" w:cs="Arial"/>
                <w:color w:val="auto"/>
                <w:sz w:val="22"/>
                <w:szCs w:val="22"/>
              </w:rPr>
            </w:pPr>
            <w:r w:rsidRPr="00090673">
              <w:rPr>
                <w:rFonts w:ascii="Arial" w:hAnsi="Arial" w:cs="Arial"/>
                <w:color w:val="auto"/>
                <w:sz w:val="22"/>
                <w:szCs w:val="22"/>
              </w:rPr>
              <w:t>Executive summary (stand-alone, including key findings, conclusions, and recommendations)</w:t>
            </w:r>
          </w:p>
          <w:p w14:paraId="507269A5" w14:textId="77777777" w:rsidR="00E56C35" w:rsidRPr="00090673" w:rsidRDefault="00E56C35" w:rsidP="00E56C35">
            <w:pPr>
              <w:pStyle w:val="Heading3"/>
              <w:rPr>
                <w:rFonts w:ascii="Arial" w:hAnsi="Arial" w:cs="Arial"/>
                <w:b/>
                <w:bCs/>
                <w:color w:val="auto"/>
                <w:sz w:val="22"/>
                <w:szCs w:val="22"/>
              </w:rPr>
            </w:pPr>
            <w:r w:rsidRPr="00090673">
              <w:rPr>
                <w:rFonts w:ascii="Arial" w:hAnsi="Arial" w:cs="Arial"/>
                <w:b/>
                <w:bCs/>
                <w:color w:val="auto"/>
                <w:sz w:val="22"/>
                <w:szCs w:val="22"/>
              </w:rPr>
              <w:t>Main Report</w:t>
            </w:r>
          </w:p>
          <w:p w14:paraId="504BCB23" w14:textId="77777777" w:rsidR="00E56C35" w:rsidRPr="00090673" w:rsidRDefault="00E56C35">
            <w:pPr>
              <w:numPr>
                <w:ilvl w:val="0"/>
                <w:numId w:val="16"/>
              </w:numPr>
              <w:spacing w:before="100" w:beforeAutospacing="1" w:after="100" w:afterAutospacing="1"/>
              <w:rPr>
                <w:rFonts w:cs="Arial"/>
              </w:rPr>
            </w:pPr>
            <w:r w:rsidRPr="00090673">
              <w:rPr>
                <w:rStyle w:val="Strong"/>
                <w:rFonts w:cs="Arial"/>
              </w:rPr>
              <w:t>Introduction &amp; Background</w:t>
            </w:r>
            <w:r w:rsidRPr="00090673">
              <w:rPr>
                <w:rFonts w:cs="Arial"/>
              </w:rPr>
              <w:t xml:space="preserve"> – urban context, program overview, rationale, study locations. </w:t>
            </w:r>
          </w:p>
          <w:p w14:paraId="06BCE2A6" w14:textId="77777777" w:rsidR="00E56C35" w:rsidRPr="00090673" w:rsidRDefault="00E56C35">
            <w:pPr>
              <w:numPr>
                <w:ilvl w:val="0"/>
                <w:numId w:val="16"/>
              </w:numPr>
              <w:spacing w:before="100" w:beforeAutospacing="1" w:after="100" w:afterAutospacing="1"/>
              <w:rPr>
                <w:rFonts w:cs="Arial"/>
              </w:rPr>
            </w:pPr>
            <w:r w:rsidRPr="00090673">
              <w:rPr>
                <w:rStyle w:val="Strong"/>
                <w:rFonts w:cs="Arial"/>
              </w:rPr>
              <w:t>Objectives &amp; Scope</w:t>
            </w:r>
            <w:r w:rsidRPr="00090673">
              <w:rPr>
                <w:rFonts w:cs="Arial"/>
              </w:rPr>
              <w:t xml:space="preserve"> – overall &amp; specific objectives, study boundaries, key questions, evaluation criteria. </w:t>
            </w:r>
          </w:p>
          <w:p w14:paraId="174FA11F" w14:textId="77777777" w:rsidR="00E56C35" w:rsidRPr="00090673" w:rsidRDefault="00E56C35">
            <w:pPr>
              <w:numPr>
                <w:ilvl w:val="0"/>
                <w:numId w:val="16"/>
              </w:numPr>
              <w:spacing w:before="100" w:beforeAutospacing="1" w:after="100" w:afterAutospacing="1"/>
              <w:rPr>
                <w:rFonts w:cs="Arial"/>
              </w:rPr>
            </w:pPr>
            <w:r w:rsidRPr="00090673">
              <w:rPr>
                <w:rStyle w:val="Strong"/>
                <w:rFonts w:cs="Arial"/>
              </w:rPr>
              <w:t>Methodology</w:t>
            </w:r>
            <w:r w:rsidRPr="00090673">
              <w:rPr>
                <w:rFonts w:cs="Arial"/>
              </w:rPr>
              <w:t xml:space="preserve"> – mixed-methods approach, sampling, data collection tools, ethical considerations, gender/disability inclusion, limitations. </w:t>
            </w:r>
          </w:p>
          <w:p w14:paraId="64E4D92F" w14:textId="77777777" w:rsidR="00E56C35" w:rsidRPr="00090673" w:rsidRDefault="00E56C35">
            <w:pPr>
              <w:numPr>
                <w:ilvl w:val="0"/>
                <w:numId w:val="16"/>
              </w:numPr>
              <w:spacing w:before="100" w:beforeAutospacing="1" w:after="100" w:afterAutospacing="1"/>
              <w:rPr>
                <w:rFonts w:cs="Arial"/>
              </w:rPr>
            </w:pPr>
            <w:r w:rsidRPr="00090673">
              <w:rPr>
                <w:rStyle w:val="Strong"/>
                <w:rFonts w:cs="Arial"/>
              </w:rPr>
              <w:t>Program Context &amp; Theory of Change</w:t>
            </w:r>
            <w:r w:rsidRPr="00090673">
              <w:rPr>
                <w:rFonts w:cs="Arial"/>
              </w:rPr>
              <w:t xml:space="preserve"> – program goals, components, target groups, results pathway. </w:t>
            </w:r>
          </w:p>
          <w:p w14:paraId="3A6CBF62" w14:textId="77777777" w:rsidR="00E56C35" w:rsidRPr="00090673" w:rsidRDefault="00E56C35">
            <w:pPr>
              <w:numPr>
                <w:ilvl w:val="0"/>
                <w:numId w:val="16"/>
              </w:numPr>
              <w:spacing w:before="100" w:beforeAutospacing="1" w:after="100" w:afterAutospacing="1"/>
              <w:rPr>
                <w:rFonts w:cs="Arial"/>
              </w:rPr>
            </w:pPr>
            <w:r w:rsidRPr="00090673">
              <w:rPr>
                <w:rStyle w:val="Strong"/>
                <w:rFonts w:cs="Arial"/>
              </w:rPr>
              <w:t>Findings: Relevance &amp; Responsiveness</w:t>
            </w:r>
            <w:r w:rsidRPr="00090673">
              <w:rPr>
                <w:rFonts w:cs="Arial"/>
              </w:rPr>
              <w:t xml:space="preserve"> – alignment with community needs, policy, and vulnerable groups. </w:t>
            </w:r>
          </w:p>
          <w:p w14:paraId="78F6EE3C" w14:textId="77777777" w:rsidR="00E56C35" w:rsidRPr="00090673" w:rsidRDefault="00E56C35">
            <w:pPr>
              <w:numPr>
                <w:ilvl w:val="0"/>
                <w:numId w:val="16"/>
              </w:numPr>
              <w:spacing w:before="100" w:beforeAutospacing="1" w:after="100" w:afterAutospacing="1"/>
              <w:rPr>
                <w:rFonts w:cs="Arial"/>
              </w:rPr>
            </w:pPr>
            <w:r w:rsidRPr="00090673">
              <w:rPr>
                <w:rStyle w:val="Strong"/>
                <w:rFonts w:cs="Arial"/>
              </w:rPr>
              <w:t>Findings: Coherence &amp; Coordination</w:t>
            </w:r>
            <w:r w:rsidRPr="00090673">
              <w:rPr>
                <w:rFonts w:cs="Arial"/>
              </w:rPr>
              <w:t xml:space="preserve"> – complementarity with government, donors, and other programs. </w:t>
            </w:r>
          </w:p>
          <w:p w14:paraId="341E799F" w14:textId="77777777" w:rsidR="00E56C35" w:rsidRPr="00090673" w:rsidRDefault="00E56C35">
            <w:pPr>
              <w:numPr>
                <w:ilvl w:val="0"/>
                <w:numId w:val="16"/>
              </w:numPr>
              <w:spacing w:before="100" w:beforeAutospacing="1" w:after="100" w:afterAutospacing="1"/>
              <w:rPr>
                <w:rFonts w:cs="Arial"/>
              </w:rPr>
            </w:pPr>
            <w:r w:rsidRPr="00090673">
              <w:rPr>
                <w:rStyle w:val="Strong"/>
                <w:rFonts w:cs="Arial"/>
              </w:rPr>
              <w:t>Findings: Effectiveness</w:t>
            </w:r>
            <w:r w:rsidRPr="00090673">
              <w:rPr>
                <w:rFonts w:cs="Arial"/>
              </w:rPr>
              <w:t xml:space="preserve"> – housing, WASH, DRR, livelihoods, governance, inclusion, and barriers/enablers. </w:t>
            </w:r>
          </w:p>
          <w:p w14:paraId="102C8C20" w14:textId="77777777" w:rsidR="00E56C35" w:rsidRPr="00090673" w:rsidRDefault="00E56C35">
            <w:pPr>
              <w:numPr>
                <w:ilvl w:val="0"/>
                <w:numId w:val="16"/>
              </w:numPr>
              <w:spacing w:before="100" w:beforeAutospacing="1" w:after="100" w:afterAutospacing="1"/>
              <w:rPr>
                <w:rFonts w:cs="Arial"/>
              </w:rPr>
            </w:pPr>
            <w:r w:rsidRPr="00090673">
              <w:rPr>
                <w:rStyle w:val="Strong"/>
                <w:rFonts w:cs="Arial"/>
              </w:rPr>
              <w:t>Findings: Efficiency</w:t>
            </w:r>
            <w:r w:rsidRPr="00090673">
              <w:rPr>
                <w:rFonts w:cs="Arial"/>
              </w:rPr>
              <w:t xml:space="preserve"> – resource use, partnerships, operational bottlenecks. </w:t>
            </w:r>
          </w:p>
          <w:p w14:paraId="1808666B" w14:textId="77777777" w:rsidR="00E56C35" w:rsidRPr="00090673" w:rsidRDefault="00E56C35">
            <w:pPr>
              <w:numPr>
                <w:ilvl w:val="0"/>
                <w:numId w:val="16"/>
              </w:numPr>
              <w:spacing w:before="100" w:beforeAutospacing="1" w:after="100" w:afterAutospacing="1"/>
              <w:rPr>
                <w:rFonts w:cs="Arial"/>
              </w:rPr>
            </w:pPr>
            <w:r w:rsidRPr="00090673">
              <w:rPr>
                <w:rStyle w:val="Strong"/>
                <w:rFonts w:cs="Arial"/>
              </w:rPr>
              <w:t>Findings: Impact &amp; Outcomes</w:t>
            </w:r>
            <w:r w:rsidRPr="00090673">
              <w:rPr>
                <w:rFonts w:cs="Arial"/>
              </w:rPr>
              <w:t xml:space="preserve"> – changes in living conditions, resilience, inclusion, and environmental impact. </w:t>
            </w:r>
          </w:p>
          <w:p w14:paraId="154DD298" w14:textId="77777777" w:rsidR="00E56C35" w:rsidRPr="00090673" w:rsidRDefault="00E56C35">
            <w:pPr>
              <w:numPr>
                <w:ilvl w:val="0"/>
                <w:numId w:val="16"/>
              </w:numPr>
              <w:spacing w:before="100" w:beforeAutospacing="1" w:after="100" w:afterAutospacing="1"/>
              <w:rPr>
                <w:rFonts w:cs="Arial"/>
              </w:rPr>
            </w:pPr>
            <w:r w:rsidRPr="00090673">
              <w:rPr>
                <w:rStyle w:val="Strong"/>
                <w:rFonts w:cs="Arial"/>
              </w:rPr>
              <w:t>Sustainability &amp; Scalability</w:t>
            </w:r>
            <w:r w:rsidRPr="00090673">
              <w:rPr>
                <w:rFonts w:cs="Arial"/>
              </w:rPr>
              <w:t xml:space="preserve"> – community structures, municipal engagement, replicable models, environmental sustainability. </w:t>
            </w:r>
          </w:p>
          <w:p w14:paraId="6594BBC7" w14:textId="77777777" w:rsidR="00E56C35" w:rsidRPr="00090673" w:rsidRDefault="00E56C35">
            <w:pPr>
              <w:numPr>
                <w:ilvl w:val="0"/>
                <w:numId w:val="16"/>
              </w:numPr>
              <w:spacing w:before="100" w:beforeAutospacing="1" w:after="100" w:afterAutospacing="1"/>
              <w:rPr>
                <w:rFonts w:cs="Arial"/>
              </w:rPr>
            </w:pPr>
            <w:r w:rsidRPr="00090673">
              <w:rPr>
                <w:rStyle w:val="Strong"/>
                <w:rFonts w:cs="Arial"/>
              </w:rPr>
              <w:t>Inclusiveness &amp; Safeguarding</w:t>
            </w:r>
            <w:r w:rsidRPr="00090673">
              <w:rPr>
                <w:rFonts w:cs="Arial"/>
              </w:rPr>
              <w:t xml:space="preserve"> – gender, youth, disability, marginalized groups, safeguarding mechanisms. </w:t>
            </w:r>
          </w:p>
          <w:p w14:paraId="15F4A1BB" w14:textId="77777777" w:rsidR="00E56C35" w:rsidRPr="00090673" w:rsidRDefault="00E56C35">
            <w:pPr>
              <w:numPr>
                <w:ilvl w:val="0"/>
                <w:numId w:val="16"/>
              </w:numPr>
              <w:spacing w:before="100" w:beforeAutospacing="1" w:after="100" w:afterAutospacing="1"/>
              <w:rPr>
                <w:rFonts w:cs="Arial"/>
              </w:rPr>
            </w:pPr>
            <w:r w:rsidRPr="00090673">
              <w:rPr>
                <w:rStyle w:val="Strong"/>
                <w:rFonts w:cs="Arial"/>
              </w:rPr>
              <w:t>Environmental Sustainability &amp; Climate Mitigation</w:t>
            </w:r>
            <w:r w:rsidRPr="00090673">
              <w:rPr>
                <w:rFonts w:cs="Arial"/>
              </w:rPr>
              <w:t xml:space="preserve"> – low-carbon practices, resource efficiency, green infrastructure, nature-based solutions. </w:t>
            </w:r>
          </w:p>
          <w:p w14:paraId="64ED2DA4" w14:textId="77777777" w:rsidR="00E56C35" w:rsidRPr="00090673" w:rsidRDefault="00E56C35">
            <w:pPr>
              <w:numPr>
                <w:ilvl w:val="0"/>
                <w:numId w:val="16"/>
              </w:numPr>
              <w:spacing w:before="100" w:beforeAutospacing="1" w:after="100" w:afterAutospacing="1"/>
              <w:rPr>
                <w:rFonts w:cs="Arial"/>
              </w:rPr>
            </w:pPr>
            <w:r w:rsidRPr="00090673">
              <w:rPr>
                <w:rStyle w:val="Strong"/>
                <w:rFonts w:cs="Arial"/>
              </w:rPr>
              <w:t>Gap &amp; Opportunity Analysis</w:t>
            </w:r>
            <w:r w:rsidRPr="00090673">
              <w:rPr>
                <w:rFonts w:cs="Arial"/>
              </w:rPr>
              <w:t xml:space="preserve"> – service gaps, tenure and finance barriers, institutional/policy gaps, expansion opportunities. </w:t>
            </w:r>
          </w:p>
          <w:p w14:paraId="79FCDAF2" w14:textId="77777777" w:rsidR="00E56C35" w:rsidRPr="00090673" w:rsidRDefault="00E56C35">
            <w:pPr>
              <w:numPr>
                <w:ilvl w:val="0"/>
                <w:numId w:val="16"/>
              </w:numPr>
              <w:spacing w:before="100" w:beforeAutospacing="1" w:after="100" w:afterAutospacing="1"/>
              <w:rPr>
                <w:rFonts w:cs="Arial"/>
              </w:rPr>
            </w:pPr>
            <w:r w:rsidRPr="00090673">
              <w:rPr>
                <w:rStyle w:val="Strong"/>
                <w:rFonts w:cs="Arial"/>
              </w:rPr>
              <w:t>Lessons Learned &amp; Good Practices</w:t>
            </w:r>
            <w:r w:rsidRPr="00090673">
              <w:rPr>
                <w:rFonts w:cs="Arial"/>
              </w:rPr>
              <w:t xml:space="preserve"> – replicable models and success factors. </w:t>
            </w:r>
          </w:p>
          <w:p w14:paraId="7468651B" w14:textId="77777777" w:rsidR="00E56C35" w:rsidRPr="00090673" w:rsidRDefault="00E56C35">
            <w:pPr>
              <w:numPr>
                <w:ilvl w:val="0"/>
                <w:numId w:val="16"/>
              </w:numPr>
              <w:spacing w:before="100" w:beforeAutospacing="1" w:after="100" w:afterAutospacing="1"/>
              <w:rPr>
                <w:rFonts w:cs="Arial"/>
              </w:rPr>
            </w:pPr>
            <w:r w:rsidRPr="00090673">
              <w:rPr>
                <w:rStyle w:val="Strong"/>
                <w:rFonts w:cs="Arial"/>
              </w:rPr>
              <w:t>Conclusions</w:t>
            </w:r>
            <w:r w:rsidRPr="00090673">
              <w:rPr>
                <w:rFonts w:cs="Arial"/>
              </w:rPr>
              <w:t xml:space="preserve"> – summary of key findings by objective, program component, inclusion, and environmental impact. </w:t>
            </w:r>
          </w:p>
          <w:p w14:paraId="63FBABED" w14:textId="77777777" w:rsidR="00E56C35" w:rsidRPr="00090673" w:rsidRDefault="00E56C35">
            <w:pPr>
              <w:numPr>
                <w:ilvl w:val="0"/>
                <w:numId w:val="16"/>
              </w:numPr>
              <w:spacing w:before="100" w:beforeAutospacing="1" w:after="100" w:afterAutospacing="1"/>
              <w:rPr>
                <w:rFonts w:cs="Arial"/>
              </w:rPr>
            </w:pPr>
            <w:r w:rsidRPr="00090673">
              <w:rPr>
                <w:rStyle w:val="Strong"/>
                <w:rFonts w:cs="Arial"/>
              </w:rPr>
              <w:t>Recommendations</w:t>
            </w:r>
            <w:r w:rsidRPr="00090673">
              <w:rPr>
                <w:rFonts w:cs="Arial"/>
              </w:rPr>
              <w:t xml:space="preserve"> – actionable recommendations for HFHI-B, by theme, actor, and timeframe. </w:t>
            </w:r>
          </w:p>
          <w:p w14:paraId="7FCF472E" w14:textId="03A162ED" w:rsidR="00E56C35" w:rsidRPr="00090673" w:rsidRDefault="00E56C35" w:rsidP="00E56C35">
            <w:pPr>
              <w:spacing w:before="100" w:beforeAutospacing="1" w:after="100" w:afterAutospacing="1"/>
              <w:rPr>
                <w:rFonts w:cs="Arial"/>
              </w:rPr>
            </w:pPr>
            <w:r w:rsidRPr="00090673">
              <w:rPr>
                <w:rFonts w:cs="Arial"/>
                <w:b/>
                <w:bCs/>
                <w:color w:val="auto"/>
              </w:rPr>
              <w:t>Annexes:</w:t>
            </w:r>
            <w:r w:rsidRPr="00090673">
              <w:rPr>
                <w:rFonts w:cs="Arial"/>
                <w:color w:val="auto"/>
              </w:rPr>
              <w:t xml:space="preserve"> </w:t>
            </w:r>
            <w:proofErr w:type="spellStart"/>
            <w:r w:rsidRPr="00090673">
              <w:rPr>
                <w:rFonts w:cs="Arial"/>
              </w:rPr>
              <w:t>ToR</w:t>
            </w:r>
            <w:proofErr w:type="spellEnd"/>
            <w:r w:rsidRPr="00090673">
              <w:rPr>
                <w:rFonts w:cs="Arial"/>
              </w:rPr>
              <w:t>, study matrix, documents reviewed, tools, sampling details, datasets, case studies, workshop notes, photos, final framework.</w:t>
            </w:r>
          </w:p>
          <w:p w14:paraId="3F655725" w14:textId="14CA5B24" w:rsidR="000803EF" w:rsidRPr="00090673" w:rsidRDefault="000803EF">
            <w:pPr>
              <w:pStyle w:val="ListParagraph"/>
              <w:numPr>
                <w:ilvl w:val="0"/>
                <w:numId w:val="18"/>
              </w:numPr>
              <w:spacing w:before="100" w:beforeAutospacing="1" w:after="100" w:afterAutospacing="1"/>
              <w:rPr>
                <w:rFonts w:ascii="Arial" w:hAnsi="Arial" w:cs="Arial"/>
                <w:b/>
                <w:bCs/>
              </w:rPr>
            </w:pPr>
            <w:r w:rsidRPr="00090673">
              <w:rPr>
                <w:rFonts w:ascii="Arial" w:hAnsi="Arial" w:cs="Arial"/>
                <w:b/>
                <w:bCs/>
              </w:rPr>
              <w:t>Outline of Expanded Urban Programming Framework</w:t>
            </w:r>
          </w:p>
          <w:p w14:paraId="3E297406" w14:textId="77777777" w:rsidR="009928ED" w:rsidRPr="00090673" w:rsidRDefault="009928ED" w:rsidP="009928ED">
            <w:pPr>
              <w:spacing w:before="100" w:beforeAutospacing="1" w:after="100" w:afterAutospacing="1"/>
              <w:rPr>
                <w:rFonts w:eastAsia="Times New Roman" w:cs="Arial"/>
                <w:color w:val="auto"/>
                <w:lang w:eastAsia="en-US"/>
              </w:rPr>
            </w:pPr>
            <w:r w:rsidRPr="00090673">
              <w:rPr>
                <w:rFonts w:eastAsia="Times New Roman" w:cs="Arial"/>
                <w:b/>
                <w:bCs/>
                <w:color w:val="auto"/>
                <w:lang w:eastAsia="en-US"/>
              </w:rPr>
              <w:t>Title:</w:t>
            </w:r>
            <w:r w:rsidRPr="00090673">
              <w:rPr>
                <w:rFonts w:eastAsia="Times New Roman" w:cs="Arial"/>
                <w:color w:val="auto"/>
                <w:lang w:eastAsia="en-US"/>
              </w:rPr>
              <w:t xml:space="preserve"> Expanded Urban Programming Framework – Inclusive, Climate-Resilient Urban Development</w:t>
            </w:r>
          </w:p>
          <w:p w14:paraId="5754E19F" w14:textId="77777777" w:rsidR="009928ED" w:rsidRPr="00090673" w:rsidRDefault="009928ED">
            <w:pPr>
              <w:numPr>
                <w:ilvl w:val="0"/>
                <w:numId w:val="19"/>
              </w:numPr>
              <w:spacing w:before="100" w:beforeAutospacing="1" w:after="100" w:afterAutospacing="1"/>
              <w:rPr>
                <w:rFonts w:eastAsia="Times New Roman" w:cs="Arial"/>
                <w:color w:val="auto"/>
                <w:lang w:eastAsia="en-US"/>
              </w:rPr>
            </w:pPr>
            <w:r w:rsidRPr="00090673">
              <w:rPr>
                <w:rFonts w:eastAsia="Times New Roman" w:cs="Arial"/>
                <w:b/>
                <w:bCs/>
                <w:color w:val="auto"/>
                <w:lang w:eastAsia="en-US"/>
              </w:rPr>
              <w:t>Introduction</w:t>
            </w:r>
            <w:r w:rsidRPr="00090673">
              <w:rPr>
                <w:rFonts w:eastAsia="Times New Roman" w:cs="Arial"/>
                <w:color w:val="auto"/>
                <w:lang w:eastAsia="en-US"/>
              </w:rPr>
              <w:t xml:space="preserve"> – purpose, rationale, link with impact study, users, geographic focus. </w:t>
            </w:r>
          </w:p>
          <w:p w14:paraId="6E6069A0" w14:textId="77777777" w:rsidR="009928ED" w:rsidRPr="00090673" w:rsidRDefault="009928ED">
            <w:pPr>
              <w:numPr>
                <w:ilvl w:val="0"/>
                <w:numId w:val="19"/>
              </w:numPr>
              <w:spacing w:before="100" w:beforeAutospacing="1" w:after="100" w:afterAutospacing="1"/>
              <w:rPr>
                <w:rFonts w:eastAsia="Times New Roman" w:cs="Arial"/>
                <w:color w:val="auto"/>
                <w:lang w:eastAsia="en-US"/>
              </w:rPr>
            </w:pPr>
            <w:r w:rsidRPr="00090673">
              <w:rPr>
                <w:rFonts w:eastAsia="Times New Roman" w:cs="Arial"/>
                <w:b/>
                <w:bCs/>
                <w:color w:val="auto"/>
                <w:lang w:eastAsia="en-US"/>
              </w:rPr>
              <w:lastRenderedPageBreak/>
              <w:t>Strategic Context</w:t>
            </w:r>
            <w:r w:rsidRPr="00090673">
              <w:rPr>
                <w:rFonts w:eastAsia="Times New Roman" w:cs="Arial"/>
                <w:color w:val="auto"/>
                <w:lang w:eastAsia="en-US"/>
              </w:rPr>
              <w:t xml:space="preserve"> – urban poverty, climate migration, vulnerabilities, policy landscape. </w:t>
            </w:r>
          </w:p>
          <w:p w14:paraId="03C1094D" w14:textId="77777777" w:rsidR="009928ED" w:rsidRPr="00090673" w:rsidRDefault="009928ED">
            <w:pPr>
              <w:numPr>
                <w:ilvl w:val="0"/>
                <w:numId w:val="19"/>
              </w:numPr>
              <w:spacing w:before="100" w:beforeAutospacing="1" w:after="100" w:afterAutospacing="1"/>
              <w:rPr>
                <w:rFonts w:eastAsia="Times New Roman" w:cs="Arial"/>
                <w:color w:val="auto"/>
                <w:lang w:eastAsia="en-US"/>
              </w:rPr>
            </w:pPr>
            <w:r w:rsidRPr="00090673">
              <w:rPr>
                <w:rFonts w:eastAsia="Times New Roman" w:cs="Arial"/>
                <w:b/>
                <w:bCs/>
                <w:color w:val="auto"/>
                <w:lang w:eastAsia="en-US"/>
              </w:rPr>
              <w:t>Evidence Base</w:t>
            </w:r>
            <w:r w:rsidRPr="00090673">
              <w:rPr>
                <w:rFonts w:eastAsia="Times New Roman" w:cs="Arial"/>
                <w:color w:val="auto"/>
                <w:lang w:eastAsia="en-US"/>
              </w:rPr>
              <w:t xml:space="preserve"> – key impact, effectiveness, sustainability, inclusion, environmental findings, and gaps from the study. </w:t>
            </w:r>
          </w:p>
          <w:p w14:paraId="1F8E9149" w14:textId="77777777" w:rsidR="009928ED" w:rsidRPr="00090673" w:rsidRDefault="009928ED">
            <w:pPr>
              <w:numPr>
                <w:ilvl w:val="0"/>
                <w:numId w:val="19"/>
              </w:numPr>
              <w:spacing w:before="100" w:beforeAutospacing="1" w:after="100" w:afterAutospacing="1"/>
              <w:rPr>
                <w:rFonts w:eastAsia="Times New Roman" w:cs="Arial"/>
                <w:color w:val="auto"/>
                <w:lang w:eastAsia="en-US"/>
              </w:rPr>
            </w:pPr>
            <w:r w:rsidRPr="00090673">
              <w:rPr>
                <w:rFonts w:eastAsia="Times New Roman" w:cs="Arial"/>
                <w:b/>
                <w:bCs/>
                <w:color w:val="auto"/>
                <w:lang w:eastAsia="en-US"/>
              </w:rPr>
              <w:t>Vision, Goal &amp; Strategic Objectives</w:t>
            </w:r>
            <w:r w:rsidRPr="00090673">
              <w:rPr>
                <w:rFonts w:eastAsia="Times New Roman" w:cs="Arial"/>
                <w:color w:val="auto"/>
                <w:lang w:eastAsia="en-US"/>
              </w:rPr>
              <w:t xml:space="preserve"> – overarching goal and 5–7 strategic objectives. </w:t>
            </w:r>
          </w:p>
          <w:p w14:paraId="3B686DD8" w14:textId="77777777" w:rsidR="009928ED" w:rsidRPr="00090673" w:rsidRDefault="009928ED">
            <w:pPr>
              <w:numPr>
                <w:ilvl w:val="0"/>
                <w:numId w:val="19"/>
              </w:numPr>
              <w:spacing w:before="100" w:beforeAutospacing="1" w:after="100" w:afterAutospacing="1"/>
              <w:rPr>
                <w:rFonts w:eastAsia="Times New Roman" w:cs="Arial"/>
                <w:color w:val="auto"/>
                <w:lang w:eastAsia="en-US"/>
              </w:rPr>
            </w:pPr>
            <w:r w:rsidRPr="00090673">
              <w:rPr>
                <w:rFonts w:eastAsia="Times New Roman" w:cs="Arial"/>
                <w:b/>
                <w:bCs/>
                <w:color w:val="auto"/>
                <w:lang w:eastAsia="en-US"/>
              </w:rPr>
              <w:t>Guiding Principles</w:t>
            </w:r>
            <w:r w:rsidRPr="00090673">
              <w:rPr>
                <w:rFonts w:eastAsia="Times New Roman" w:cs="Arial"/>
                <w:color w:val="auto"/>
                <w:lang w:eastAsia="en-US"/>
              </w:rPr>
              <w:t xml:space="preserve"> – participation, inclusion, climate resilience, municipal alignment, sustainability, safeguarding, scalability. </w:t>
            </w:r>
          </w:p>
          <w:p w14:paraId="304AC685" w14:textId="77777777" w:rsidR="009928ED" w:rsidRPr="00090673" w:rsidRDefault="009928ED">
            <w:pPr>
              <w:numPr>
                <w:ilvl w:val="0"/>
                <w:numId w:val="19"/>
              </w:numPr>
              <w:spacing w:before="100" w:beforeAutospacing="1" w:after="100" w:afterAutospacing="1"/>
              <w:rPr>
                <w:rFonts w:eastAsia="Times New Roman" w:cs="Arial"/>
                <w:color w:val="auto"/>
                <w:lang w:eastAsia="en-US"/>
              </w:rPr>
            </w:pPr>
            <w:r w:rsidRPr="00090673">
              <w:rPr>
                <w:rFonts w:eastAsia="Times New Roman" w:cs="Arial"/>
                <w:b/>
                <w:bCs/>
                <w:color w:val="auto"/>
                <w:lang w:eastAsia="en-US"/>
              </w:rPr>
              <w:t>Theory of Change</w:t>
            </w:r>
            <w:r w:rsidRPr="00090673">
              <w:rPr>
                <w:rFonts w:eastAsia="Times New Roman" w:cs="Arial"/>
                <w:color w:val="auto"/>
                <w:lang w:eastAsia="en-US"/>
              </w:rPr>
              <w:t xml:space="preserve"> – problem, target population, strategies, outputs, outcomes, assumptions, risks. </w:t>
            </w:r>
          </w:p>
          <w:p w14:paraId="3FAEA7FF" w14:textId="77777777" w:rsidR="009928ED" w:rsidRPr="00090673" w:rsidRDefault="009928ED">
            <w:pPr>
              <w:numPr>
                <w:ilvl w:val="0"/>
                <w:numId w:val="19"/>
              </w:numPr>
              <w:spacing w:before="100" w:beforeAutospacing="1" w:after="100" w:afterAutospacing="1"/>
              <w:rPr>
                <w:rFonts w:eastAsia="Times New Roman" w:cs="Arial"/>
                <w:color w:val="auto"/>
                <w:lang w:eastAsia="en-US"/>
              </w:rPr>
            </w:pPr>
            <w:r w:rsidRPr="00090673">
              <w:rPr>
                <w:rFonts w:eastAsia="Times New Roman" w:cs="Arial"/>
                <w:b/>
                <w:bCs/>
                <w:color w:val="auto"/>
                <w:lang w:eastAsia="en-US"/>
              </w:rPr>
              <w:t>Strategic Programming Pillars</w:t>
            </w:r>
            <w:r w:rsidRPr="00090673">
              <w:rPr>
                <w:rFonts w:eastAsia="Times New Roman" w:cs="Arial"/>
                <w:color w:val="auto"/>
                <w:lang w:eastAsia="en-US"/>
              </w:rPr>
              <w:t xml:space="preserve"> (integrated &amp; concise): </w:t>
            </w:r>
          </w:p>
          <w:p w14:paraId="2A6FA6A6" w14:textId="77777777" w:rsidR="009928ED" w:rsidRPr="00090673" w:rsidRDefault="009928ED">
            <w:pPr>
              <w:numPr>
                <w:ilvl w:val="1"/>
                <w:numId w:val="19"/>
              </w:numPr>
              <w:spacing w:before="100" w:beforeAutospacing="1" w:after="100" w:afterAutospacing="1"/>
              <w:rPr>
                <w:rFonts w:eastAsia="Times New Roman" w:cs="Arial"/>
                <w:color w:val="auto"/>
                <w:lang w:eastAsia="en-US"/>
              </w:rPr>
            </w:pPr>
            <w:r w:rsidRPr="00090673">
              <w:rPr>
                <w:rFonts w:eastAsia="Times New Roman" w:cs="Arial"/>
                <w:color w:val="auto"/>
                <w:lang w:eastAsia="en-US"/>
              </w:rPr>
              <w:t xml:space="preserve">Housing &amp; Settlement Upgrading </w:t>
            </w:r>
          </w:p>
          <w:p w14:paraId="1858ECF3" w14:textId="77777777" w:rsidR="009928ED" w:rsidRPr="00090673" w:rsidRDefault="009928ED">
            <w:pPr>
              <w:numPr>
                <w:ilvl w:val="1"/>
                <w:numId w:val="19"/>
              </w:numPr>
              <w:spacing w:before="100" w:beforeAutospacing="1" w:after="100" w:afterAutospacing="1"/>
              <w:rPr>
                <w:rFonts w:eastAsia="Times New Roman" w:cs="Arial"/>
                <w:color w:val="auto"/>
                <w:lang w:eastAsia="en-US"/>
              </w:rPr>
            </w:pPr>
            <w:r w:rsidRPr="00090673">
              <w:rPr>
                <w:rFonts w:eastAsia="Times New Roman" w:cs="Arial"/>
                <w:color w:val="auto"/>
                <w:lang w:eastAsia="en-US"/>
              </w:rPr>
              <w:t xml:space="preserve">WASH, Drainage &amp; Environmental Health </w:t>
            </w:r>
          </w:p>
          <w:p w14:paraId="2686D40F" w14:textId="77777777" w:rsidR="009928ED" w:rsidRPr="00090673" w:rsidRDefault="009928ED">
            <w:pPr>
              <w:numPr>
                <w:ilvl w:val="1"/>
                <w:numId w:val="19"/>
              </w:numPr>
              <w:spacing w:before="100" w:beforeAutospacing="1" w:after="100" w:afterAutospacing="1"/>
              <w:rPr>
                <w:rFonts w:eastAsia="Times New Roman" w:cs="Arial"/>
                <w:color w:val="auto"/>
                <w:lang w:eastAsia="en-US"/>
              </w:rPr>
            </w:pPr>
            <w:r w:rsidRPr="00090673">
              <w:rPr>
                <w:rFonts w:eastAsia="Times New Roman" w:cs="Arial"/>
                <w:color w:val="auto"/>
                <w:lang w:eastAsia="en-US"/>
              </w:rPr>
              <w:t xml:space="preserve">Disaster Risk Reduction &amp; Climate Resilience </w:t>
            </w:r>
          </w:p>
          <w:p w14:paraId="1D821C9E" w14:textId="77777777" w:rsidR="009928ED" w:rsidRPr="00090673" w:rsidRDefault="009928ED">
            <w:pPr>
              <w:numPr>
                <w:ilvl w:val="1"/>
                <w:numId w:val="19"/>
              </w:numPr>
              <w:spacing w:before="100" w:beforeAutospacing="1" w:after="100" w:afterAutospacing="1"/>
              <w:rPr>
                <w:rFonts w:eastAsia="Times New Roman" w:cs="Arial"/>
                <w:color w:val="auto"/>
                <w:lang w:eastAsia="en-US"/>
              </w:rPr>
            </w:pPr>
            <w:r w:rsidRPr="00090673">
              <w:rPr>
                <w:rFonts w:eastAsia="Times New Roman" w:cs="Arial"/>
                <w:color w:val="auto"/>
                <w:lang w:eastAsia="en-US"/>
              </w:rPr>
              <w:t xml:space="preserve">Inclusive Governance &amp; Civic Participation </w:t>
            </w:r>
          </w:p>
          <w:p w14:paraId="239092B8" w14:textId="77777777" w:rsidR="009928ED" w:rsidRPr="00090673" w:rsidRDefault="009928ED">
            <w:pPr>
              <w:numPr>
                <w:ilvl w:val="1"/>
                <w:numId w:val="19"/>
              </w:numPr>
              <w:spacing w:before="100" w:beforeAutospacing="1" w:after="100" w:afterAutospacing="1"/>
              <w:rPr>
                <w:rFonts w:eastAsia="Times New Roman" w:cs="Arial"/>
                <w:color w:val="auto"/>
                <w:lang w:eastAsia="en-US"/>
              </w:rPr>
            </w:pPr>
            <w:r w:rsidRPr="00090673">
              <w:rPr>
                <w:rFonts w:eastAsia="Times New Roman" w:cs="Arial"/>
                <w:color w:val="auto"/>
                <w:lang w:eastAsia="en-US"/>
              </w:rPr>
              <w:t xml:space="preserve">Gender, Disability &amp; Social Inclusion </w:t>
            </w:r>
          </w:p>
          <w:p w14:paraId="7C5974F5" w14:textId="77777777" w:rsidR="009928ED" w:rsidRPr="00090673" w:rsidRDefault="009928ED">
            <w:pPr>
              <w:numPr>
                <w:ilvl w:val="1"/>
                <w:numId w:val="19"/>
              </w:numPr>
              <w:spacing w:before="100" w:beforeAutospacing="1" w:after="100" w:afterAutospacing="1"/>
              <w:rPr>
                <w:rFonts w:eastAsia="Times New Roman" w:cs="Arial"/>
                <w:color w:val="auto"/>
                <w:lang w:eastAsia="en-US"/>
              </w:rPr>
            </w:pPr>
            <w:r w:rsidRPr="00090673">
              <w:rPr>
                <w:rFonts w:eastAsia="Times New Roman" w:cs="Arial"/>
                <w:color w:val="auto"/>
                <w:lang w:eastAsia="en-US"/>
              </w:rPr>
              <w:t xml:space="preserve">Livelihoods, Skills &amp; Housing Finance </w:t>
            </w:r>
          </w:p>
          <w:p w14:paraId="0EE8CC39" w14:textId="77777777" w:rsidR="009928ED" w:rsidRPr="00090673" w:rsidRDefault="009928ED">
            <w:pPr>
              <w:numPr>
                <w:ilvl w:val="1"/>
                <w:numId w:val="19"/>
              </w:numPr>
              <w:spacing w:before="100" w:beforeAutospacing="1" w:after="100" w:afterAutospacing="1"/>
              <w:rPr>
                <w:rFonts w:eastAsia="Times New Roman" w:cs="Arial"/>
                <w:color w:val="auto"/>
                <w:lang w:eastAsia="en-US"/>
              </w:rPr>
            </w:pPr>
            <w:r w:rsidRPr="00090673">
              <w:rPr>
                <w:rFonts w:eastAsia="Times New Roman" w:cs="Arial"/>
                <w:color w:val="auto"/>
                <w:lang w:eastAsia="en-US"/>
              </w:rPr>
              <w:t xml:space="preserve">Environmental Sustainability &amp; Low-Carbon Urban Development </w:t>
            </w:r>
          </w:p>
          <w:p w14:paraId="13EF6BDE" w14:textId="77777777" w:rsidR="009928ED" w:rsidRPr="00090673" w:rsidRDefault="009928ED">
            <w:pPr>
              <w:numPr>
                <w:ilvl w:val="1"/>
                <w:numId w:val="19"/>
              </w:numPr>
              <w:spacing w:before="100" w:beforeAutospacing="1" w:after="100" w:afterAutospacing="1"/>
              <w:rPr>
                <w:rFonts w:eastAsia="Times New Roman" w:cs="Arial"/>
                <w:color w:val="auto"/>
                <w:lang w:eastAsia="en-US"/>
              </w:rPr>
            </w:pPr>
            <w:r w:rsidRPr="00090673">
              <w:rPr>
                <w:rFonts w:eastAsia="Times New Roman" w:cs="Arial"/>
                <w:color w:val="auto"/>
                <w:lang w:eastAsia="en-US"/>
              </w:rPr>
              <w:t xml:space="preserve">Policy Advocacy &amp; Systems Change </w:t>
            </w:r>
          </w:p>
          <w:p w14:paraId="6309F039" w14:textId="5D8BE5A6" w:rsidR="009928ED" w:rsidRPr="00090673" w:rsidRDefault="009928ED">
            <w:pPr>
              <w:numPr>
                <w:ilvl w:val="0"/>
                <w:numId w:val="19"/>
              </w:numPr>
              <w:spacing w:before="100" w:beforeAutospacing="1" w:after="100" w:afterAutospacing="1"/>
              <w:rPr>
                <w:rFonts w:eastAsia="Times New Roman" w:cs="Arial"/>
                <w:color w:val="auto"/>
                <w:lang w:eastAsia="en-US"/>
              </w:rPr>
            </w:pPr>
            <w:r w:rsidRPr="00090673">
              <w:rPr>
                <w:rFonts w:eastAsia="Times New Roman" w:cs="Arial"/>
                <w:b/>
                <w:bCs/>
                <w:color w:val="auto"/>
                <w:lang w:eastAsia="en-US"/>
              </w:rPr>
              <w:t>Scalable &amp; Replicable Models</w:t>
            </w:r>
            <w:r w:rsidRPr="00090673">
              <w:rPr>
                <w:rFonts w:eastAsia="Times New Roman" w:cs="Arial"/>
                <w:color w:val="auto"/>
                <w:lang w:eastAsia="en-US"/>
              </w:rPr>
              <w:t xml:space="preserve"> – community-led</w:t>
            </w:r>
            <w:r w:rsidR="00DB51B5" w:rsidRPr="00090673">
              <w:rPr>
                <w:rFonts w:eastAsia="Times New Roman" w:cs="Arial"/>
                <w:color w:val="auto"/>
                <w:lang w:eastAsia="en-US"/>
              </w:rPr>
              <w:t xml:space="preserve"> resilient</w:t>
            </w:r>
            <w:r w:rsidRPr="00090673">
              <w:rPr>
                <w:rFonts w:eastAsia="Times New Roman" w:cs="Arial"/>
                <w:color w:val="auto"/>
                <w:lang w:eastAsia="en-US"/>
              </w:rPr>
              <w:t xml:space="preserve"> housing, integrated WASH, governance, housing finance, climate migrant support. </w:t>
            </w:r>
          </w:p>
          <w:p w14:paraId="0F51ACFA" w14:textId="77777777" w:rsidR="009928ED" w:rsidRPr="00090673" w:rsidRDefault="009928ED">
            <w:pPr>
              <w:numPr>
                <w:ilvl w:val="0"/>
                <w:numId w:val="19"/>
              </w:numPr>
              <w:spacing w:before="100" w:beforeAutospacing="1" w:after="100" w:afterAutospacing="1"/>
              <w:rPr>
                <w:rFonts w:eastAsia="Times New Roman" w:cs="Arial"/>
                <w:color w:val="auto"/>
                <w:lang w:eastAsia="en-US"/>
              </w:rPr>
            </w:pPr>
            <w:r w:rsidRPr="00090673">
              <w:rPr>
                <w:rFonts w:eastAsia="Times New Roman" w:cs="Arial"/>
                <w:b/>
                <w:bCs/>
                <w:color w:val="auto"/>
                <w:lang w:eastAsia="en-US"/>
              </w:rPr>
              <w:t>Geographic Expansion Strategy</w:t>
            </w:r>
            <w:r w:rsidRPr="00090673">
              <w:rPr>
                <w:rFonts w:eastAsia="Times New Roman" w:cs="Arial"/>
                <w:color w:val="auto"/>
                <w:lang w:eastAsia="en-US"/>
              </w:rPr>
              <w:t xml:space="preserve"> – selection criteria, typologies, prioritization. </w:t>
            </w:r>
          </w:p>
          <w:p w14:paraId="4B65A65F" w14:textId="77777777" w:rsidR="009928ED" w:rsidRPr="00090673" w:rsidRDefault="009928ED">
            <w:pPr>
              <w:numPr>
                <w:ilvl w:val="0"/>
                <w:numId w:val="19"/>
              </w:numPr>
              <w:spacing w:before="100" w:beforeAutospacing="1" w:after="100" w:afterAutospacing="1"/>
              <w:rPr>
                <w:rFonts w:eastAsia="Times New Roman" w:cs="Arial"/>
                <w:color w:val="auto"/>
                <w:lang w:eastAsia="en-US"/>
              </w:rPr>
            </w:pPr>
            <w:r w:rsidRPr="00090673">
              <w:rPr>
                <w:rFonts w:eastAsia="Times New Roman" w:cs="Arial"/>
                <w:b/>
                <w:bCs/>
                <w:color w:val="auto"/>
                <w:lang w:eastAsia="en-US"/>
              </w:rPr>
              <w:t>Partnership &amp; Coordination</w:t>
            </w:r>
            <w:r w:rsidRPr="00090673">
              <w:rPr>
                <w:rFonts w:eastAsia="Times New Roman" w:cs="Arial"/>
                <w:color w:val="auto"/>
                <w:lang w:eastAsia="en-US"/>
              </w:rPr>
              <w:t xml:space="preserve"> – government, municipalities, NGOs, donors, private sector, community structures. </w:t>
            </w:r>
          </w:p>
          <w:p w14:paraId="15AC6328" w14:textId="77777777" w:rsidR="009928ED" w:rsidRPr="00090673" w:rsidRDefault="009928ED">
            <w:pPr>
              <w:numPr>
                <w:ilvl w:val="0"/>
                <w:numId w:val="19"/>
              </w:numPr>
              <w:spacing w:before="100" w:beforeAutospacing="1" w:after="100" w:afterAutospacing="1"/>
              <w:rPr>
                <w:rFonts w:eastAsia="Times New Roman" w:cs="Arial"/>
                <w:color w:val="auto"/>
                <w:lang w:eastAsia="en-US"/>
              </w:rPr>
            </w:pPr>
            <w:r w:rsidRPr="00090673">
              <w:rPr>
                <w:rFonts w:eastAsia="Times New Roman" w:cs="Arial"/>
                <w:b/>
                <w:bCs/>
                <w:color w:val="auto"/>
                <w:lang w:eastAsia="en-US"/>
              </w:rPr>
              <w:t>Financing &amp; Resource Mobilization</w:t>
            </w:r>
            <w:r w:rsidRPr="00090673">
              <w:rPr>
                <w:rFonts w:eastAsia="Times New Roman" w:cs="Arial"/>
                <w:color w:val="auto"/>
                <w:lang w:eastAsia="en-US"/>
              </w:rPr>
              <w:t xml:space="preserve"> – donor funding, climate finance, municipal co-financing, housing finance, community contributions. </w:t>
            </w:r>
          </w:p>
          <w:p w14:paraId="1164A471" w14:textId="77777777" w:rsidR="009928ED" w:rsidRPr="00090673" w:rsidRDefault="009928ED">
            <w:pPr>
              <w:numPr>
                <w:ilvl w:val="0"/>
                <w:numId w:val="19"/>
              </w:numPr>
              <w:spacing w:before="100" w:beforeAutospacing="1" w:after="100" w:afterAutospacing="1"/>
              <w:rPr>
                <w:rFonts w:eastAsia="Times New Roman" w:cs="Arial"/>
                <w:color w:val="auto"/>
                <w:lang w:eastAsia="en-US"/>
              </w:rPr>
            </w:pPr>
            <w:r w:rsidRPr="00090673">
              <w:rPr>
                <w:rFonts w:eastAsia="Times New Roman" w:cs="Arial"/>
                <w:b/>
                <w:bCs/>
                <w:color w:val="auto"/>
                <w:lang w:eastAsia="en-US"/>
              </w:rPr>
              <w:t>Implementation Approach</w:t>
            </w:r>
            <w:r w:rsidRPr="00090673">
              <w:rPr>
                <w:rFonts w:eastAsia="Times New Roman" w:cs="Arial"/>
                <w:color w:val="auto"/>
                <w:lang w:eastAsia="en-US"/>
              </w:rPr>
              <w:t xml:space="preserve"> – phased model, community engagement, technical design, capacity building, municipal integration, MEAL, risk management. </w:t>
            </w:r>
          </w:p>
          <w:p w14:paraId="5D052B49" w14:textId="77777777" w:rsidR="009928ED" w:rsidRPr="00090673" w:rsidRDefault="009928ED">
            <w:pPr>
              <w:numPr>
                <w:ilvl w:val="0"/>
                <w:numId w:val="19"/>
              </w:numPr>
              <w:spacing w:before="100" w:beforeAutospacing="1" w:after="100" w:afterAutospacing="1"/>
              <w:rPr>
                <w:rFonts w:eastAsia="Times New Roman" w:cs="Arial"/>
                <w:color w:val="auto"/>
                <w:lang w:eastAsia="en-US"/>
              </w:rPr>
            </w:pPr>
            <w:r w:rsidRPr="00090673">
              <w:rPr>
                <w:rFonts w:eastAsia="Times New Roman" w:cs="Arial"/>
                <w:b/>
                <w:bCs/>
                <w:color w:val="auto"/>
                <w:lang w:eastAsia="en-US"/>
              </w:rPr>
              <w:t>Results Framework</w:t>
            </w:r>
            <w:r w:rsidRPr="00090673">
              <w:rPr>
                <w:rFonts w:eastAsia="Times New Roman" w:cs="Arial"/>
                <w:color w:val="auto"/>
                <w:lang w:eastAsia="en-US"/>
              </w:rPr>
              <w:t xml:space="preserve"> – impact, outcomes, outputs, indicators, disaggregation, verification, assumptions. </w:t>
            </w:r>
          </w:p>
          <w:p w14:paraId="2A5A7E1E" w14:textId="77777777" w:rsidR="009928ED" w:rsidRPr="00090673" w:rsidRDefault="009928ED">
            <w:pPr>
              <w:numPr>
                <w:ilvl w:val="0"/>
                <w:numId w:val="19"/>
              </w:numPr>
              <w:spacing w:before="100" w:beforeAutospacing="1" w:after="100" w:afterAutospacing="1"/>
              <w:rPr>
                <w:rFonts w:eastAsia="Times New Roman" w:cs="Arial"/>
                <w:color w:val="auto"/>
                <w:lang w:eastAsia="en-US"/>
              </w:rPr>
            </w:pPr>
            <w:r w:rsidRPr="00090673">
              <w:rPr>
                <w:rFonts w:eastAsia="Times New Roman" w:cs="Arial"/>
                <w:b/>
                <w:bCs/>
                <w:color w:val="auto"/>
                <w:lang w:eastAsia="en-US"/>
              </w:rPr>
              <w:t>MEAL Framework</w:t>
            </w:r>
            <w:r w:rsidRPr="00090673">
              <w:rPr>
                <w:rFonts w:eastAsia="Times New Roman" w:cs="Arial"/>
                <w:color w:val="auto"/>
                <w:lang w:eastAsia="en-US"/>
              </w:rPr>
              <w:t xml:space="preserve"> – monitoring, learning, feedback, participatory approaches. </w:t>
            </w:r>
          </w:p>
          <w:p w14:paraId="6CA4FC45" w14:textId="77777777" w:rsidR="009928ED" w:rsidRPr="00090673" w:rsidRDefault="009928ED">
            <w:pPr>
              <w:numPr>
                <w:ilvl w:val="0"/>
                <w:numId w:val="19"/>
              </w:numPr>
              <w:spacing w:before="100" w:beforeAutospacing="1" w:after="100" w:afterAutospacing="1"/>
              <w:rPr>
                <w:rFonts w:eastAsia="Times New Roman" w:cs="Arial"/>
                <w:color w:val="auto"/>
                <w:lang w:eastAsia="en-US"/>
              </w:rPr>
            </w:pPr>
            <w:r w:rsidRPr="00090673">
              <w:rPr>
                <w:rFonts w:eastAsia="Times New Roman" w:cs="Arial"/>
                <w:b/>
                <w:bCs/>
                <w:color w:val="auto"/>
                <w:lang w:eastAsia="en-US"/>
              </w:rPr>
              <w:t>Risk Analysis &amp; Mitigation</w:t>
            </w:r>
            <w:r w:rsidRPr="00090673">
              <w:rPr>
                <w:rFonts w:eastAsia="Times New Roman" w:cs="Arial"/>
                <w:color w:val="auto"/>
                <w:lang w:eastAsia="en-US"/>
              </w:rPr>
              <w:t xml:space="preserve"> – tenure, political, climate, safeguarding, financial, operational, environmental. </w:t>
            </w:r>
          </w:p>
          <w:p w14:paraId="106EC5D3" w14:textId="77777777" w:rsidR="009928ED" w:rsidRPr="00090673" w:rsidRDefault="009928ED">
            <w:pPr>
              <w:numPr>
                <w:ilvl w:val="0"/>
                <w:numId w:val="19"/>
              </w:numPr>
              <w:spacing w:before="100" w:beforeAutospacing="1" w:after="100" w:afterAutospacing="1"/>
              <w:rPr>
                <w:rFonts w:eastAsia="Times New Roman" w:cs="Arial"/>
                <w:color w:val="auto"/>
                <w:lang w:eastAsia="en-US"/>
              </w:rPr>
            </w:pPr>
            <w:r w:rsidRPr="00090673">
              <w:rPr>
                <w:rFonts w:eastAsia="Times New Roman" w:cs="Arial"/>
                <w:b/>
                <w:bCs/>
                <w:color w:val="auto"/>
                <w:lang w:eastAsia="en-US"/>
              </w:rPr>
              <w:t>Implementation Roadmap</w:t>
            </w:r>
            <w:r w:rsidRPr="00090673">
              <w:rPr>
                <w:rFonts w:eastAsia="Times New Roman" w:cs="Arial"/>
                <w:color w:val="auto"/>
                <w:lang w:eastAsia="en-US"/>
              </w:rPr>
              <w:t xml:space="preserve"> – immediate, medium, and long-term priorities; institutional capacity; partnership and resource timelines. </w:t>
            </w:r>
          </w:p>
          <w:p w14:paraId="63CF23B2" w14:textId="77777777" w:rsidR="00DC67DC" w:rsidRDefault="009928ED">
            <w:pPr>
              <w:numPr>
                <w:ilvl w:val="0"/>
                <w:numId w:val="19"/>
              </w:numPr>
              <w:spacing w:before="100" w:beforeAutospacing="1" w:after="100" w:afterAutospacing="1"/>
              <w:rPr>
                <w:rFonts w:eastAsia="Times New Roman" w:cs="Arial"/>
                <w:color w:val="auto"/>
                <w:lang w:eastAsia="en-US"/>
              </w:rPr>
            </w:pPr>
            <w:r w:rsidRPr="00090673">
              <w:rPr>
                <w:rFonts w:eastAsia="Times New Roman" w:cs="Arial"/>
                <w:b/>
                <w:bCs/>
                <w:color w:val="auto"/>
                <w:lang w:eastAsia="en-US"/>
              </w:rPr>
              <w:t>Annexes</w:t>
            </w:r>
            <w:r w:rsidRPr="00090673">
              <w:rPr>
                <w:rFonts w:eastAsia="Times New Roman" w:cs="Arial"/>
                <w:color w:val="auto"/>
                <w:lang w:eastAsia="en-US"/>
              </w:rPr>
              <w:t xml:space="preserve"> – results framework, location prioritization, partnership map, financing options, risk matrix, sample indicators, theory of change, program model summaries, policy alignment, implementation roadmap.</w:t>
            </w:r>
          </w:p>
          <w:p w14:paraId="2A872A32" w14:textId="752F1CB2" w:rsidR="00E9132B" w:rsidRPr="00090673" w:rsidRDefault="00E9132B" w:rsidP="00E9132B">
            <w:pPr>
              <w:spacing w:before="100" w:beforeAutospacing="1" w:after="100" w:afterAutospacing="1"/>
              <w:rPr>
                <w:rFonts w:eastAsia="Times New Roman" w:cs="Arial"/>
                <w:color w:val="auto"/>
                <w:lang w:eastAsia="en-US"/>
              </w:rPr>
            </w:pPr>
            <w:r>
              <w:rPr>
                <w:rFonts w:eastAsia="Times New Roman" w:cs="Arial"/>
                <w:color w:val="auto"/>
                <w:lang w:eastAsia="en-US"/>
              </w:rPr>
              <w:t xml:space="preserve">N.B: </w:t>
            </w:r>
            <w:r w:rsidR="00797E1A" w:rsidRPr="00797E1A">
              <w:rPr>
                <w:rFonts w:eastAsia="Times New Roman" w:cs="Arial"/>
                <w:color w:val="auto"/>
                <w:lang w:eastAsia="en-US"/>
              </w:rPr>
              <w:t>These are suggestive outlines. The consultant/team may propose more relevant and innovative outlines, which will be finalized in consultation with HFHI-B</w:t>
            </w:r>
          </w:p>
        </w:tc>
      </w:tr>
      <w:tr w:rsidR="00B27F6C" w:rsidRPr="00090673" w14:paraId="6C9FB000" w14:textId="77777777" w:rsidTr="00E32DF1">
        <w:trPr>
          <w:trHeight w:val="31"/>
        </w:trPr>
        <w:tc>
          <w:tcPr>
            <w:tcW w:w="9545" w:type="dxa"/>
            <w:shd w:val="clear" w:color="auto" w:fill="D9E2F3"/>
          </w:tcPr>
          <w:p w14:paraId="7AB42942" w14:textId="77777777" w:rsidR="00B27F6C" w:rsidRPr="00090673" w:rsidRDefault="00B27F6C" w:rsidP="003D4234">
            <w:pPr>
              <w:numPr>
                <w:ilvl w:val="0"/>
                <w:numId w:val="1"/>
              </w:numPr>
              <w:ind w:left="720"/>
              <w:rPr>
                <w:rFonts w:eastAsia="Calibri" w:cs="Arial"/>
                <w:b/>
                <w:bCs/>
                <w:iCs/>
              </w:rPr>
            </w:pPr>
            <w:r w:rsidRPr="00090673">
              <w:rPr>
                <w:rFonts w:eastAsia="Calibri" w:cs="Arial"/>
                <w:b/>
                <w:bCs/>
                <w:iCs/>
              </w:rPr>
              <w:lastRenderedPageBreak/>
              <w:t>Consultant Profile</w:t>
            </w:r>
            <w:r w:rsidR="00FB5D85" w:rsidRPr="00090673">
              <w:rPr>
                <w:rFonts w:eastAsia="Calibri" w:cs="Arial"/>
                <w:b/>
                <w:bCs/>
                <w:iCs/>
              </w:rPr>
              <w:t xml:space="preserve"> (for external only)</w:t>
            </w:r>
          </w:p>
        </w:tc>
      </w:tr>
      <w:tr w:rsidR="00C47C14" w:rsidRPr="00090673" w14:paraId="3E4D666C" w14:textId="77777777" w:rsidTr="008500EA">
        <w:trPr>
          <w:trHeight w:val="547"/>
        </w:trPr>
        <w:tc>
          <w:tcPr>
            <w:tcW w:w="9545" w:type="dxa"/>
          </w:tcPr>
          <w:p w14:paraId="24E3924D" w14:textId="0BEA6E06" w:rsidR="003D4234" w:rsidRPr="00090673" w:rsidRDefault="003D4234" w:rsidP="003D4234">
            <w:pPr>
              <w:jc w:val="both"/>
              <w:rPr>
                <w:rFonts w:eastAsia="Calibri" w:cs="Arial"/>
                <w:color w:val="auto"/>
              </w:rPr>
            </w:pPr>
            <w:r w:rsidRPr="00090673">
              <w:rPr>
                <w:rFonts w:eastAsia="Calibri" w:cs="Arial"/>
                <w:color w:val="auto"/>
              </w:rPr>
              <w:t xml:space="preserve">The assignment should be conducted by a multidisciplinary consultant/team with strong experience in impact studies, urban resilience, informal settlement upgrading, WASH, housing, climate adaptation, gender and disability inclusion, policy analysis, and strategic program framework development. The team must be capable of conducting a mixed-method impact study, gap and opportunity analysis, stakeholder consultations, and preparing an expanded urban programming framework for HFHI-Bangladesh. The </w:t>
            </w:r>
            <w:proofErr w:type="spellStart"/>
            <w:r w:rsidRPr="00090673">
              <w:rPr>
                <w:rFonts w:eastAsia="Calibri" w:cs="Arial"/>
                <w:color w:val="auto"/>
              </w:rPr>
              <w:t>ToR</w:t>
            </w:r>
            <w:proofErr w:type="spellEnd"/>
            <w:r w:rsidRPr="00090673">
              <w:rPr>
                <w:rFonts w:eastAsia="Calibri" w:cs="Arial"/>
                <w:color w:val="auto"/>
              </w:rPr>
              <w:t xml:space="preserve"> requires assessment across housing, WASH, drainage,</w:t>
            </w:r>
            <w:r w:rsidR="00857279" w:rsidRPr="00090673">
              <w:rPr>
                <w:rFonts w:eastAsia="Calibri" w:cs="Arial"/>
                <w:color w:val="auto"/>
              </w:rPr>
              <w:t xml:space="preserve"> </w:t>
            </w:r>
            <w:r w:rsidR="000573C3" w:rsidRPr="00090673">
              <w:rPr>
                <w:rFonts w:eastAsia="Calibri" w:cs="Arial"/>
                <w:color w:val="auto"/>
              </w:rPr>
              <w:t>accessibility, disaster</w:t>
            </w:r>
            <w:r w:rsidRPr="00090673">
              <w:rPr>
                <w:rFonts w:eastAsia="Calibri" w:cs="Arial"/>
                <w:color w:val="auto"/>
              </w:rPr>
              <w:t xml:space="preserve"> risk reduction, livelihoods, housing finance, governance, inclusion, environmental sustainability, policy engagement, and systems change. </w:t>
            </w:r>
          </w:p>
          <w:p w14:paraId="49705E4D" w14:textId="58EBD126" w:rsidR="003D4234" w:rsidRPr="00090673" w:rsidRDefault="003D4234" w:rsidP="003D4234">
            <w:pPr>
              <w:jc w:val="both"/>
              <w:rPr>
                <w:rFonts w:eastAsia="Calibri" w:cs="Arial"/>
                <w:color w:val="auto"/>
              </w:rPr>
            </w:pPr>
            <w:r w:rsidRPr="00090673">
              <w:rPr>
                <w:rFonts w:eastAsia="Calibri" w:cs="Arial"/>
                <w:color w:val="auto"/>
              </w:rPr>
              <w:t>At minimum, the consultan</w:t>
            </w:r>
            <w:r w:rsidR="00B63E9E" w:rsidRPr="00090673">
              <w:rPr>
                <w:rFonts w:eastAsia="Calibri" w:cs="Arial"/>
                <w:color w:val="auto"/>
              </w:rPr>
              <w:t xml:space="preserve">cy </w:t>
            </w:r>
            <w:r w:rsidRPr="00090673">
              <w:rPr>
                <w:rFonts w:eastAsia="Calibri" w:cs="Arial"/>
                <w:color w:val="auto"/>
              </w:rPr>
              <w:t>team should include:</w:t>
            </w:r>
          </w:p>
          <w:p w14:paraId="76DE9100" w14:textId="77777777" w:rsidR="003D4234" w:rsidRPr="00090673" w:rsidRDefault="003D4234">
            <w:pPr>
              <w:numPr>
                <w:ilvl w:val="0"/>
                <w:numId w:val="20"/>
              </w:numPr>
              <w:jc w:val="both"/>
              <w:rPr>
                <w:rFonts w:eastAsia="Calibri" w:cs="Arial"/>
                <w:color w:val="auto"/>
              </w:rPr>
            </w:pPr>
            <w:r w:rsidRPr="00090673">
              <w:rPr>
                <w:rFonts w:eastAsia="Calibri" w:cs="Arial"/>
                <w:color w:val="auto"/>
              </w:rPr>
              <w:t xml:space="preserve">Team Leader / Impact Evaluation Specialist </w:t>
            </w:r>
          </w:p>
          <w:p w14:paraId="536DB5D1" w14:textId="77777777" w:rsidR="003D4234" w:rsidRPr="00090673" w:rsidRDefault="003D4234">
            <w:pPr>
              <w:numPr>
                <w:ilvl w:val="0"/>
                <w:numId w:val="20"/>
              </w:numPr>
              <w:jc w:val="both"/>
              <w:rPr>
                <w:rFonts w:eastAsia="Calibri" w:cs="Arial"/>
                <w:color w:val="auto"/>
              </w:rPr>
            </w:pPr>
            <w:r w:rsidRPr="00090673">
              <w:rPr>
                <w:rFonts w:eastAsia="Calibri" w:cs="Arial"/>
                <w:color w:val="auto"/>
              </w:rPr>
              <w:t xml:space="preserve">Urban Development / Informal Settlement Specialist </w:t>
            </w:r>
          </w:p>
          <w:p w14:paraId="32E506D7" w14:textId="69C38887" w:rsidR="003D4234" w:rsidRPr="00090673" w:rsidRDefault="003D4234">
            <w:pPr>
              <w:numPr>
                <w:ilvl w:val="0"/>
                <w:numId w:val="20"/>
              </w:numPr>
              <w:jc w:val="both"/>
              <w:rPr>
                <w:rFonts w:eastAsia="Calibri" w:cs="Arial"/>
                <w:color w:val="auto"/>
              </w:rPr>
            </w:pPr>
            <w:r w:rsidRPr="00090673">
              <w:rPr>
                <w:rFonts w:eastAsia="Calibri" w:cs="Arial"/>
                <w:color w:val="auto"/>
              </w:rPr>
              <w:t xml:space="preserve">WASH Specialist </w:t>
            </w:r>
          </w:p>
          <w:p w14:paraId="17443FDF" w14:textId="77777777" w:rsidR="003D4234" w:rsidRPr="00090673" w:rsidRDefault="003D4234">
            <w:pPr>
              <w:numPr>
                <w:ilvl w:val="0"/>
                <w:numId w:val="20"/>
              </w:numPr>
              <w:jc w:val="both"/>
              <w:rPr>
                <w:rFonts w:eastAsia="Calibri" w:cs="Arial"/>
                <w:color w:val="auto"/>
              </w:rPr>
            </w:pPr>
            <w:r w:rsidRPr="00090673">
              <w:rPr>
                <w:rFonts w:eastAsia="Calibri" w:cs="Arial"/>
                <w:color w:val="auto"/>
              </w:rPr>
              <w:t xml:space="preserve">Climate Resilience / DRR / Environmental Sustainability Specialist </w:t>
            </w:r>
          </w:p>
          <w:p w14:paraId="305318B7" w14:textId="77777777" w:rsidR="003D4234" w:rsidRPr="00090673" w:rsidRDefault="003D4234">
            <w:pPr>
              <w:numPr>
                <w:ilvl w:val="0"/>
                <w:numId w:val="20"/>
              </w:numPr>
              <w:jc w:val="both"/>
              <w:rPr>
                <w:rFonts w:eastAsia="Calibri" w:cs="Arial"/>
                <w:color w:val="auto"/>
              </w:rPr>
            </w:pPr>
            <w:r w:rsidRPr="00090673">
              <w:rPr>
                <w:rFonts w:eastAsia="Calibri" w:cs="Arial"/>
                <w:color w:val="auto"/>
              </w:rPr>
              <w:t xml:space="preserve">Gender, Disability and Social Inclusion Specialist </w:t>
            </w:r>
          </w:p>
          <w:p w14:paraId="7EE801FD" w14:textId="77777777" w:rsidR="003D4234" w:rsidRPr="00090673" w:rsidRDefault="003D4234">
            <w:pPr>
              <w:numPr>
                <w:ilvl w:val="0"/>
                <w:numId w:val="20"/>
              </w:numPr>
              <w:jc w:val="both"/>
              <w:rPr>
                <w:rFonts w:eastAsia="Calibri" w:cs="Arial"/>
                <w:color w:val="auto"/>
              </w:rPr>
            </w:pPr>
            <w:r w:rsidRPr="00090673">
              <w:rPr>
                <w:rFonts w:eastAsia="Calibri" w:cs="Arial"/>
                <w:color w:val="auto"/>
              </w:rPr>
              <w:t xml:space="preserve">Quantitative and Qualitative Research Specialist / Data Analyst </w:t>
            </w:r>
          </w:p>
          <w:p w14:paraId="25A13B20" w14:textId="77777777" w:rsidR="003D4234" w:rsidRPr="00090673" w:rsidRDefault="003D4234">
            <w:pPr>
              <w:numPr>
                <w:ilvl w:val="0"/>
                <w:numId w:val="20"/>
              </w:numPr>
              <w:jc w:val="both"/>
              <w:rPr>
                <w:rFonts w:eastAsia="Calibri" w:cs="Arial"/>
                <w:color w:val="auto"/>
              </w:rPr>
            </w:pPr>
            <w:r w:rsidRPr="00090673">
              <w:rPr>
                <w:rFonts w:eastAsia="Calibri" w:cs="Arial"/>
                <w:color w:val="auto"/>
              </w:rPr>
              <w:lastRenderedPageBreak/>
              <w:t xml:space="preserve">Program Strategy / Systems Change / Policy Advocacy Specialist </w:t>
            </w:r>
          </w:p>
          <w:p w14:paraId="356609FA" w14:textId="77777777" w:rsidR="003D4234" w:rsidRPr="00090673" w:rsidRDefault="003D4234" w:rsidP="003D4234">
            <w:pPr>
              <w:jc w:val="both"/>
              <w:rPr>
                <w:rFonts w:eastAsia="Calibri" w:cs="Arial"/>
                <w:color w:val="auto"/>
              </w:rPr>
            </w:pPr>
            <w:r w:rsidRPr="00090673">
              <w:rPr>
                <w:rFonts w:eastAsia="Calibri" w:cs="Arial"/>
                <w:color w:val="auto"/>
              </w:rPr>
              <w:t>The consultant/team should possess the following qualifications and experience:</w:t>
            </w:r>
          </w:p>
          <w:p w14:paraId="26997D03" w14:textId="27145440" w:rsidR="003D4234" w:rsidRPr="00090673" w:rsidRDefault="003D4234">
            <w:pPr>
              <w:numPr>
                <w:ilvl w:val="0"/>
                <w:numId w:val="21"/>
              </w:numPr>
              <w:jc w:val="both"/>
              <w:rPr>
                <w:rFonts w:eastAsia="Calibri" w:cs="Arial"/>
                <w:color w:val="auto"/>
              </w:rPr>
            </w:pPr>
            <w:r w:rsidRPr="00090673">
              <w:rPr>
                <w:rFonts w:eastAsia="Calibri" w:cs="Arial"/>
                <w:color w:val="auto"/>
              </w:rPr>
              <w:t xml:space="preserve">At least a </w:t>
            </w:r>
            <w:r w:rsidR="002D47C9" w:rsidRPr="00090673">
              <w:rPr>
                <w:rFonts w:eastAsia="Calibri" w:cs="Arial"/>
                <w:color w:val="auto"/>
              </w:rPr>
              <w:t>master’s degree in development studies</w:t>
            </w:r>
            <w:r w:rsidRPr="00090673">
              <w:rPr>
                <w:rFonts w:eastAsia="Calibri" w:cs="Arial"/>
                <w:color w:val="auto"/>
              </w:rPr>
              <w:t xml:space="preserve">, Urban Planning, Social Sciences, Public Health, Environmental Science, Civil/Environmental Engineering, Climate Change, Disaster Management, or </w:t>
            </w:r>
            <w:r w:rsidR="002D47C9" w:rsidRPr="00090673">
              <w:rPr>
                <w:rFonts w:eastAsia="Calibri" w:cs="Arial"/>
                <w:color w:val="auto"/>
              </w:rPr>
              <w:t>relevant</w:t>
            </w:r>
            <w:r w:rsidRPr="00090673">
              <w:rPr>
                <w:rFonts w:eastAsia="Calibri" w:cs="Arial"/>
                <w:color w:val="auto"/>
              </w:rPr>
              <w:t xml:space="preserve"> discipline. </w:t>
            </w:r>
          </w:p>
          <w:p w14:paraId="695D909D" w14:textId="77777777" w:rsidR="003D4234" w:rsidRPr="00090673" w:rsidRDefault="003D4234">
            <w:pPr>
              <w:numPr>
                <w:ilvl w:val="0"/>
                <w:numId w:val="21"/>
              </w:numPr>
              <w:jc w:val="both"/>
              <w:rPr>
                <w:rFonts w:eastAsia="Calibri" w:cs="Arial"/>
                <w:color w:val="auto"/>
              </w:rPr>
            </w:pPr>
            <w:r w:rsidRPr="00090673">
              <w:rPr>
                <w:rFonts w:eastAsia="Calibri" w:cs="Arial"/>
                <w:color w:val="auto"/>
              </w:rPr>
              <w:t xml:space="preserve">Minimum 7–10 years of professional experience in development research, evaluation, impact assessment, or urban programming. </w:t>
            </w:r>
          </w:p>
          <w:p w14:paraId="4581BD89" w14:textId="77777777" w:rsidR="003D4234" w:rsidRPr="00090673" w:rsidRDefault="003D4234">
            <w:pPr>
              <w:numPr>
                <w:ilvl w:val="0"/>
                <w:numId w:val="21"/>
              </w:numPr>
              <w:jc w:val="both"/>
              <w:rPr>
                <w:rFonts w:eastAsia="Calibri" w:cs="Arial"/>
                <w:color w:val="auto"/>
              </w:rPr>
            </w:pPr>
            <w:r w:rsidRPr="00090673">
              <w:rPr>
                <w:rFonts w:eastAsia="Calibri" w:cs="Arial"/>
                <w:color w:val="auto"/>
              </w:rPr>
              <w:t xml:space="preserve">Demonstrated experience in conducting baseline, midline, endline, impact studies, evaluations, or learning studies for development or humanitarian programs. </w:t>
            </w:r>
          </w:p>
          <w:p w14:paraId="1D511D31" w14:textId="77777777" w:rsidR="003D4234" w:rsidRPr="00090673" w:rsidRDefault="003D4234">
            <w:pPr>
              <w:numPr>
                <w:ilvl w:val="0"/>
                <w:numId w:val="21"/>
              </w:numPr>
              <w:jc w:val="both"/>
              <w:rPr>
                <w:rFonts w:eastAsia="Calibri" w:cs="Arial"/>
                <w:color w:val="auto"/>
              </w:rPr>
            </w:pPr>
            <w:r w:rsidRPr="00090673">
              <w:rPr>
                <w:rFonts w:eastAsia="Calibri" w:cs="Arial"/>
                <w:color w:val="auto"/>
              </w:rPr>
              <w:t xml:space="preserve">Strong experience in urban poverty, informal settlements, housing, WASH, drainage, disaster resilience, climate adaptation, and community-led development. </w:t>
            </w:r>
          </w:p>
          <w:p w14:paraId="4BD9B445" w14:textId="77777777" w:rsidR="003D4234" w:rsidRPr="00090673" w:rsidRDefault="003D4234">
            <w:pPr>
              <w:numPr>
                <w:ilvl w:val="0"/>
                <w:numId w:val="21"/>
              </w:numPr>
              <w:jc w:val="both"/>
              <w:rPr>
                <w:rFonts w:eastAsia="Calibri" w:cs="Arial"/>
                <w:color w:val="auto"/>
              </w:rPr>
            </w:pPr>
            <w:r w:rsidRPr="00090673">
              <w:rPr>
                <w:rFonts w:eastAsia="Calibri" w:cs="Arial"/>
                <w:color w:val="auto"/>
              </w:rPr>
              <w:t xml:space="preserve">Proven ability to apply OECD-DAC evaluation criteria, including relevance, coherence, effectiveness, efficiency, impact, and sustainability. </w:t>
            </w:r>
          </w:p>
          <w:p w14:paraId="58135F91" w14:textId="77777777" w:rsidR="003D4234" w:rsidRPr="00090673" w:rsidRDefault="003D4234">
            <w:pPr>
              <w:numPr>
                <w:ilvl w:val="0"/>
                <w:numId w:val="21"/>
              </w:numPr>
              <w:jc w:val="both"/>
              <w:rPr>
                <w:rFonts w:eastAsia="Calibri" w:cs="Arial"/>
                <w:color w:val="auto"/>
              </w:rPr>
            </w:pPr>
            <w:r w:rsidRPr="00090673">
              <w:rPr>
                <w:rFonts w:eastAsia="Calibri" w:cs="Arial"/>
                <w:color w:val="auto"/>
              </w:rPr>
              <w:t xml:space="preserve">Experience in gender equality, disability inclusion, safeguarding, youth engagement, climate migrant inclusion, and social inclusion analysis. </w:t>
            </w:r>
          </w:p>
          <w:p w14:paraId="7A46284C" w14:textId="77777777" w:rsidR="003D4234" w:rsidRPr="00090673" w:rsidRDefault="003D4234">
            <w:pPr>
              <w:numPr>
                <w:ilvl w:val="0"/>
                <w:numId w:val="21"/>
              </w:numPr>
              <w:jc w:val="both"/>
              <w:rPr>
                <w:rFonts w:eastAsia="Calibri" w:cs="Arial"/>
                <w:color w:val="auto"/>
              </w:rPr>
            </w:pPr>
            <w:r w:rsidRPr="00090673">
              <w:rPr>
                <w:rFonts w:eastAsia="Calibri" w:cs="Arial"/>
                <w:color w:val="auto"/>
              </w:rPr>
              <w:t xml:space="preserve">Demonstrated experience working with municipalities, City Corporations, WASA, DPHE, government agencies, NGOs, donors, private sector actors, financial institutions, and community structures. </w:t>
            </w:r>
          </w:p>
          <w:p w14:paraId="7084D7A7" w14:textId="6AFCA3FC" w:rsidR="003D4234" w:rsidRPr="00090673" w:rsidRDefault="003D4234">
            <w:pPr>
              <w:numPr>
                <w:ilvl w:val="0"/>
                <w:numId w:val="21"/>
              </w:numPr>
              <w:jc w:val="both"/>
              <w:rPr>
                <w:rFonts w:eastAsia="Calibri" w:cs="Arial"/>
                <w:color w:val="auto"/>
              </w:rPr>
            </w:pPr>
            <w:r w:rsidRPr="00090673">
              <w:rPr>
                <w:rFonts w:eastAsia="Calibri" w:cs="Arial"/>
                <w:color w:val="auto"/>
              </w:rPr>
              <w:t xml:space="preserve">Experience in policy analysis, </w:t>
            </w:r>
            <w:r w:rsidR="003A3B96" w:rsidRPr="00090673">
              <w:rPr>
                <w:rFonts w:eastAsia="Calibri" w:cs="Arial"/>
                <w:color w:val="auto"/>
              </w:rPr>
              <w:t>system</w:t>
            </w:r>
            <w:r w:rsidRPr="00090673">
              <w:rPr>
                <w:rFonts w:eastAsia="Calibri" w:cs="Arial"/>
                <w:color w:val="auto"/>
              </w:rPr>
              <w:t xml:space="preserve"> strengthening, advocacy, and municipal governance related to urban development. </w:t>
            </w:r>
          </w:p>
          <w:p w14:paraId="33521F2D" w14:textId="77777777" w:rsidR="003D4234" w:rsidRPr="00090673" w:rsidRDefault="003D4234">
            <w:pPr>
              <w:numPr>
                <w:ilvl w:val="0"/>
                <w:numId w:val="21"/>
              </w:numPr>
              <w:jc w:val="both"/>
              <w:rPr>
                <w:rFonts w:eastAsia="Calibri" w:cs="Arial"/>
                <w:color w:val="auto"/>
              </w:rPr>
            </w:pPr>
            <w:r w:rsidRPr="00090673">
              <w:rPr>
                <w:rFonts w:eastAsia="Calibri" w:cs="Arial"/>
                <w:color w:val="auto"/>
              </w:rPr>
              <w:t xml:space="preserve">Technical knowledge of environmental sustainability, low-carbon approaches, climate mitigation, green infrastructure, resource efficiency, and nature-based solutions. </w:t>
            </w:r>
          </w:p>
          <w:p w14:paraId="7082BE69" w14:textId="77777777" w:rsidR="003D4234" w:rsidRPr="00090673" w:rsidRDefault="003D4234">
            <w:pPr>
              <w:numPr>
                <w:ilvl w:val="0"/>
                <w:numId w:val="21"/>
              </w:numPr>
              <w:jc w:val="both"/>
              <w:rPr>
                <w:rFonts w:eastAsia="Calibri" w:cs="Arial"/>
                <w:color w:val="auto"/>
              </w:rPr>
            </w:pPr>
            <w:r w:rsidRPr="00090673">
              <w:rPr>
                <w:rFonts w:eastAsia="Calibri" w:cs="Arial"/>
                <w:color w:val="auto"/>
              </w:rPr>
              <w:t xml:space="preserve">Ability to identify scalable and replicable program models, partnership opportunities, financing pathways, and geographic expansion options. </w:t>
            </w:r>
          </w:p>
          <w:p w14:paraId="62CFC3C5" w14:textId="77777777" w:rsidR="003D4234" w:rsidRPr="00090673" w:rsidRDefault="003D4234">
            <w:pPr>
              <w:numPr>
                <w:ilvl w:val="0"/>
                <w:numId w:val="21"/>
              </w:numPr>
              <w:jc w:val="both"/>
              <w:rPr>
                <w:rFonts w:eastAsia="Calibri" w:cs="Arial"/>
                <w:color w:val="auto"/>
              </w:rPr>
            </w:pPr>
            <w:r w:rsidRPr="00090673">
              <w:rPr>
                <w:rFonts w:eastAsia="Calibri" w:cs="Arial"/>
                <w:color w:val="auto"/>
              </w:rPr>
              <w:t xml:space="preserve">Proven experience facilitating multi-stakeholder workshops, validation sessions, community consultations, and participatory planning processes. </w:t>
            </w:r>
          </w:p>
          <w:p w14:paraId="57963FB2" w14:textId="77777777" w:rsidR="003D4234" w:rsidRPr="00090673" w:rsidRDefault="003D4234">
            <w:pPr>
              <w:numPr>
                <w:ilvl w:val="0"/>
                <w:numId w:val="21"/>
              </w:numPr>
              <w:jc w:val="both"/>
              <w:rPr>
                <w:rFonts w:eastAsia="Calibri" w:cs="Arial"/>
                <w:color w:val="auto"/>
              </w:rPr>
            </w:pPr>
            <w:r w:rsidRPr="00090673">
              <w:rPr>
                <w:rFonts w:eastAsia="Calibri" w:cs="Arial"/>
                <w:color w:val="auto"/>
              </w:rPr>
              <w:t xml:space="preserve">Strong understanding of ethical research standards, informed consent, confidentiality, safeguarding, gender sensitivity, and disability-inclusive data collection. </w:t>
            </w:r>
          </w:p>
          <w:p w14:paraId="3A16756B" w14:textId="77777777" w:rsidR="003D4234" w:rsidRPr="00090673" w:rsidRDefault="003D4234">
            <w:pPr>
              <w:numPr>
                <w:ilvl w:val="0"/>
                <w:numId w:val="21"/>
              </w:numPr>
              <w:jc w:val="both"/>
              <w:rPr>
                <w:rFonts w:eastAsia="Calibri" w:cs="Arial"/>
                <w:color w:val="auto"/>
              </w:rPr>
            </w:pPr>
            <w:r w:rsidRPr="00090673">
              <w:rPr>
                <w:rFonts w:eastAsia="Calibri" w:cs="Arial"/>
                <w:color w:val="auto"/>
              </w:rPr>
              <w:t xml:space="preserve">Excellent analytical, synthesis, and report-writing skills. </w:t>
            </w:r>
          </w:p>
          <w:p w14:paraId="0AA356FA" w14:textId="77777777" w:rsidR="003D4234" w:rsidRPr="00090673" w:rsidRDefault="003D4234">
            <w:pPr>
              <w:numPr>
                <w:ilvl w:val="0"/>
                <w:numId w:val="21"/>
              </w:numPr>
              <w:jc w:val="both"/>
              <w:rPr>
                <w:rFonts w:eastAsia="Calibri" w:cs="Arial"/>
                <w:color w:val="auto"/>
              </w:rPr>
            </w:pPr>
            <w:r w:rsidRPr="00090673">
              <w:rPr>
                <w:rFonts w:eastAsia="Calibri" w:cs="Arial"/>
                <w:color w:val="auto"/>
              </w:rPr>
              <w:t xml:space="preserve">Excellent written and spoken communication skills in English and Bangla. </w:t>
            </w:r>
          </w:p>
          <w:p w14:paraId="374C64C6" w14:textId="77777777" w:rsidR="003D4234" w:rsidRPr="00090673" w:rsidRDefault="003D4234">
            <w:pPr>
              <w:numPr>
                <w:ilvl w:val="0"/>
                <w:numId w:val="21"/>
              </w:numPr>
              <w:jc w:val="both"/>
              <w:rPr>
                <w:rFonts w:eastAsia="Calibri" w:cs="Arial"/>
                <w:color w:val="auto"/>
              </w:rPr>
            </w:pPr>
            <w:r w:rsidRPr="00090673">
              <w:rPr>
                <w:rFonts w:eastAsia="Calibri" w:cs="Arial"/>
                <w:color w:val="auto"/>
              </w:rPr>
              <w:t xml:space="preserve">Previous experience with international NGOs, UN agencies, donors, or humanitarian/development actors will be an added advantage. </w:t>
            </w:r>
          </w:p>
          <w:p w14:paraId="77421C87" w14:textId="4C73722D" w:rsidR="00C47C14" w:rsidRPr="00090673" w:rsidRDefault="003D4234">
            <w:pPr>
              <w:numPr>
                <w:ilvl w:val="0"/>
                <w:numId w:val="21"/>
              </w:numPr>
              <w:jc w:val="both"/>
              <w:rPr>
                <w:rFonts w:eastAsia="Calibri" w:cs="Arial"/>
                <w:color w:val="auto"/>
              </w:rPr>
            </w:pPr>
            <w:r w:rsidRPr="00090673">
              <w:rPr>
                <w:rFonts w:eastAsia="Calibri" w:cs="Arial"/>
                <w:color w:val="auto"/>
              </w:rPr>
              <w:t>Prior experience in Bangladesh urban programming, climate-vulnerable settlements, or coastal urban contexts such as Dhaka, Khulna, and Satkhira will be strongly preferred.</w:t>
            </w:r>
          </w:p>
        </w:tc>
      </w:tr>
      <w:tr w:rsidR="00C77D3B" w:rsidRPr="00090673" w14:paraId="6BCE938A" w14:textId="77777777" w:rsidTr="00431EEC">
        <w:tc>
          <w:tcPr>
            <w:tcW w:w="9545" w:type="dxa"/>
            <w:shd w:val="clear" w:color="auto" w:fill="D9E2F3"/>
          </w:tcPr>
          <w:p w14:paraId="3A5F0EFB" w14:textId="77777777" w:rsidR="00C77D3B" w:rsidRPr="00090673" w:rsidRDefault="00C77D3B" w:rsidP="000D6B09">
            <w:pPr>
              <w:numPr>
                <w:ilvl w:val="0"/>
                <w:numId w:val="1"/>
              </w:numPr>
              <w:ind w:left="720"/>
              <w:rPr>
                <w:rFonts w:eastAsia="Calibri" w:cs="Arial"/>
                <w:b/>
                <w:bCs/>
                <w:iCs/>
              </w:rPr>
            </w:pPr>
            <w:r w:rsidRPr="00090673">
              <w:rPr>
                <w:rFonts w:eastAsia="Calibri" w:cs="Arial"/>
                <w:b/>
                <w:bCs/>
                <w:iCs/>
              </w:rPr>
              <w:lastRenderedPageBreak/>
              <w:t>Administration</w:t>
            </w:r>
          </w:p>
        </w:tc>
      </w:tr>
      <w:tr w:rsidR="00C77D3B" w:rsidRPr="00090673" w14:paraId="582A7D11" w14:textId="77777777" w:rsidTr="00431EEC">
        <w:tc>
          <w:tcPr>
            <w:tcW w:w="9545" w:type="dxa"/>
          </w:tcPr>
          <w:p w14:paraId="6EFF0599" w14:textId="2AE50D01" w:rsidR="00C77D3B" w:rsidRPr="00090673" w:rsidRDefault="00C77D3B" w:rsidP="00431EEC">
            <w:pPr>
              <w:rPr>
                <w:rFonts w:eastAsia="Calibri" w:cs="Arial"/>
                <w:b/>
                <w:bCs/>
                <w:iCs/>
              </w:rPr>
            </w:pPr>
            <w:r w:rsidRPr="00090673">
              <w:rPr>
                <w:rFonts w:eastAsia="Calibri" w:cs="Arial"/>
                <w:b/>
                <w:bCs/>
                <w:iCs/>
              </w:rPr>
              <w:t>Duration of the study</w:t>
            </w:r>
            <w:r w:rsidR="00E13606">
              <w:rPr>
                <w:rFonts w:eastAsia="Calibri" w:cs="Arial"/>
                <w:b/>
                <w:bCs/>
                <w:iCs/>
              </w:rPr>
              <w:t>:</w:t>
            </w:r>
          </w:p>
          <w:p w14:paraId="4886B126" w14:textId="5E484F7B" w:rsidR="00C77D3B" w:rsidRDefault="00C77D3B" w:rsidP="00431EEC">
            <w:pPr>
              <w:jc w:val="both"/>
              <w:rPr>
                <w:rFonts w:eastAsia="Calibri" w:cs="Arial"/>
                <w:color w:val="auto"/>
              </w:rPr>
            </w:pPr>
            <w:r w:rsidRPr="00090673">
              <w:rPr>
                <w:rFonts w:eastAsia="Calibri" w:cs="Arial"/>
                <w:color w:val="auto"/>
              </w:rPr>
              <w:t xml:space="preserve">The entire period of this consultancy will be </w:t>
            </w:r>
            <w:r w:rsidR="00597D49" w:rsidRPr="00090673">
              <w:rPr>
                <w:rFonts w:eastAsia="Calibri" w:cs="Arial"/>
                <w:color w:val="auto"/>
              </w:rPr>
              <w:t xml:space="preserve">tentatively </w:t>
            </w:r>
            <w:r w:rsidRPr="00090673">
              <w:rPr>
                <w:rFonts w:eastAsia="Calibri" w:cs="Arial"/>
                <w:color w:val="auto"/>
              </w:rPr>
              <w:t xml:space="preserve">for </w:t>
            </w:r>
            <w:r w:rsidR="003B0A56" w:rsidRPr="00090673">
              <w:rPr>
                <w:rFonts w:eastAsia="Calibri" w:cs="Arial"/>
                <w:color w:val="auto"/>
              </w:rPr>
              <w:t xml:space="preserve">total </w:t>
            </w:r>
            <w:r w:rsidR="001E1901">
              <w:rPr>
                <w:rFonts w:eastAsia="Calibri" w:cs="Arial"/>
                <w:color w:val="auto"/>
              </w:rPr>
              <w:t>ninety</w:t>
            </w:r>
            <w:r w:rsidR="00833F14" w:rsidRPr="00090673">
              <w:rPr>
                <w:rFonts w:eastAsia="Calibri" w:cs="Arial"/>
                <w:color w:val="auto"/>
              </w:rPr>
              <w:t xml:space="preserve"> (</w:t>
            </w:r>
            <w:r w:rsidR="001E1901">
              <w:rPr>
                <w:rFonts w:eastAsia="Calibri" w:cs="Arial"/>
                <w:color w:val="auto"/>
              </w:rPr>
              <w:t>9</w:t>
            </w:r>
            <w:r w:rsidR="00627BA6" w:rsidRPr="00090673">
              <w:rPr>
                <w:rFonts w:eastAsia="Calibri" w:cs="Arial"/>
                <w:color w:val="auto"/>
              </w:rPr>
              <w:t>0</w:t>
            </w:r>
            <w:r w:rsidRPr="00090673">
              <w:rPr>
                <w:rFonts w:eastAsia="Calibri" w:cs="Arial"/>
                <w:color w:val="auto"/>
              </w:rPr>
              <w:t>) days that will include preparation, development of the survey tools, testing and reviewing of the tools, actual field work and data analysis, dissemination of the key findings to stakeholders and reviewing of the final report.</w:t>
            </w:r>
          </w:p>
          <w:p w14:paraId="08C93AE5" w14:textId="77777777" w:rsidR="00E13606" w:rsidRDefault="00E13606" w:rsidP="00431EEC">
            <w:pPr>
              <w:jc w:val="both"/>
              <w:rPr>
                <w:rFonts w:eastAsia="Calibri" w:cs="Arial"/>
                <w:color w:val="auto"/>
              </w:rPr>
            </w:pPr>
            <w:r w:rsidRPr="00E13606">
              <w:rPr>
                <w:rFonts w:eastAsia="Calibri" w:cs="Arial"/>
                <w:b/>
                <w:bCs/>
                <w:color w:val="auto"/>
              </w:rPr>
              <w:t>Scoring criteria:</w:t>
            </w:r>
            <w:r w:rsidRPr="00E13606">
              <w:rPr>
                <w:rFonts w:eastAsia="Calibri" w:cs="Arial"/>
                <w:color w:val="auto"/>
              </w:rPr>
              <w:t xml:space="preserve"> </w:t>
            </w:r>
          </w:p>
          <w:p w14:paraId="1C834DFF" w14:textId="57A7CBEC" w:rsidR="00724057" w:rsidRDefault="00E13606" w:rsidP="00431EEC">
            <w:pPr>
              <w:jc w:val="both"/>
              <w:rPr>
                <w:rFonts w:eastAsia="Calibri" w:cs="Arial"/>
                <w:color w:val="auto"/>
              </w:rPr>
            </w:pPr>
            <w:r w:rsidRPr="00E13606">
              <w:rPr>
                <w:rFonts w:eastAsia="Calibri" w:cs="Arial"/>
                <w:color w:val="auto"/>
              </w:rPr>
              <w:t xml:space="preserve">The selection of the </w:t>
            </w:r>
            <w:r>
              <w:rPr>
                <w:rFonts w:eastAsia="Calibri" w:cs="Arial"/>
                <w:color w:val="auto"/>
              </w:rPr>
              <w:t>consultant</w:t>
            </w:r>
            <w:r w:rsidRPr="00E13606">
              <w:rPr>
                <w:rFonts w:eastAsia="Calibri" w:cs="Arial"/>
                <w:color w:val="auto"/>
              </w:rPr>
              <w:t xml:space="preserve"> will be based on the quality and cost-based evaluation by a selected committee of HFHI-B. Financial proposal should be submitted with breakdown (professional fees, field team, travel, per diem, materials, printing, VAT/tax assumptions). Selection will take place based on this combined evaluation of technical and financial proposals. The following criteria will be applicable for assessing the firm.</w:t>
            </w:r>
          </w:p>
          <w:tbl>
            <w:tblPr>
              <w:tblStyle w:val="TableGrid"/>
              <w:tblW w:w="5000" w:type="pct"/>
              <w:tblLook w:val="04A0" w:firstRow="1" w:lastRow="0" w:firstColumn="1" w:lastColumn="0" w:noHBand="0" w:noVBand="1"/>
            </w:tblPr>
            <w:tblGrid>
              <w:gridCol w:w="7629"/>
              <w:gridCol w:w="1436"/>
            </w:tblGrid>
            <w:tr w:rsidR="00817F9F" w:rsidRPr="00817F9F" w14:paraId="36AB8DEE" w14:textId="77777777" w:rsidTr="00F75518">
              <w:trPr>
                <w:trHeight w:val="20"/>
              </w:trPr>
              <w:tc>
                <w:tcPr>
                  <w:tcW w:w="4208" w:type="pct"/>
                  <w:shd w:val="clear" w:color="auto" w:fill="F1F1F1" w:themeFill="background2" w:themeFillTint="99"/>
                </w:tcPr>
                <w:p w14:paraId="28F61D3E" w14:textId="77777777" w:rsidR="00817F9F" w:rsidRPr="00817F9F" w:rsidRDefault="00817F9F" w:rsidP="00817F9F">
                  <w:pPr>
                    <w:spacing w:line="276" w:lineRule="auto"/>
                    <w:jc w:val="center"/>
                    <w:rPr>
                      <w:rFonts w:cs="Arial"/>
                      <w:b/>
                      <w:bCs/>
                    </w:rPr>
                  </w:pPr>
                  <w:r w:rsidRPr="00817F9F">
                    <w:rPr>
                      <w:rFonts w:cs="Arial"/>
                      <w:b/>
                      <w:bCs/>
                    </w:rPr>
                    <w:t>Criteria</w:t>
                  </w:r>
                </w:p>
              </w:tc>
              <w:tc>
                <w:tcPr>
                  <w:tcW w:w="792" w:type="pct"/>
                  <w:shd w:val="clear" w:color="auto" w:fill="F1F1F1" w:themeFill="background2" w:themeFillTint="99"/>
                  <w:vAlign w:val="center"/>
                </w:tcPr>
                <w:p w14:paraId="04CC8F8C" w14:textId="77777777" w:rsidR="00817F9F" w:rsidRPr="00817F9F" w:rsidRDefault="00817F9F" w:rsidP="00817F9F">
                  <w:pPr>
                    <w:spacing w:line="276" w:lineRule="auto"/>
                    <w:jc w:val="center"/>
                    <w:rPr>
                      <w:rFonts w:cs="Arial"/>
                      <w:b/>
                      <w:bCs/>
                    </w:rPr>
                  </w:pPr>
                  <w:r w:rsidRPr="00817F9F">
                    <w:rPr>
                      <w:rFonts w:cs="Arial"/>
                      <w:b/>
                      <w:bCs/>
                    </w:rPr>
                    <w:t>Weight</w:t>
                  </w:r>
                </w:p>
              </w:tc>
            </w:tr>
            <w:tr w:rsidR="00817F9F" w:rsidRPr="00817F9F" w14:paraId="1A63952B" w14:textId="77777777" w:rsidTr="00F75518">
              <w:trPr>
                <w:trHeight w:val="20"/>
              </w:trPr>
              <w:tc>
                <w:tcPr>
                  <w:tcW w:w="4208" w:type="pct"/>
                  <w:vAlign w:val="center"/>
                </w:tcPr>
                <w:p w14:paraId="6E70B368" w14:textId="77777777" w:rsidR="00817F9F" w:rsidRPr="00817F9F" w:rsidRDefault="00817F9F" w:rsidP="00817F9F">
                  <w:pPr>
                    <w:spacing w:line="276" w:lineRule="auto"/>
                    <w:rPr>
                      <w:rFonts w:cs="Arial"/>
                    </w:rPr>
                  </w:pPr>
                  <w:r w:rsidRPr="00817F9F">
                    <w:rPr>
                      <w:rFonts w:cs="Arial"/>
                    </w:rPr>
                    <w:t>Technical proposal:</w:t>
                  </w:r>
                </w:p>
                <w:p w14:paraId="749F95B6" w14:textId="77777777" w:rsidR="00817F9F" w:rsidRPr="00817F9F" w:rsidRDefault="00817F9F" w:rsidP="00817F9F">
                  <w:pPr>
                    <w:pStyle w:val="ListParagraph"/>
                    <w:numPr>
                      <w:ilvl w:val="0"/>
                      <w:numId w:val="22"/>
                    </w:numPr>
                    <w:contextualSpacing/>
                    <w:rPr>
                      <w:rFonts w:ascii="Arial" w:hAnsi="Arial" w:cs="Arial"/>
                      <w:sz w:val="22"/>
                      <w:szCs w:val="22"/>
                    </w:rPr>
                  </w:pPr>
                  <w:r w:rsidRPr="00817F9F">
                    <w:rPr>
                      <w:rFonts w:ascii="Arial" w:hAnsi="Arial" w:cs="Arial"/>
                      <w:sz w:val="22"/>
                      <w:szCs w:val="22"/>
                    </w:rPr>
                    <w:t>Methodology</w:t>
                  </w:r>
                </w:p>
                <w:p w14:paraId="293F6DEA" w14:textId="77777777" w:rsidR="00817F9F" w:rsidRPr="00817F9F" w:rsidRDefault="00817F9F" w:rsidP="00817F9F">
                  <w:pPr>
                    <w:pStyle w:val="ListParagraph"/>
                    <w:numPr>
                      <w:ilvl w:val="0"/>
                      <w:numId w:val="22"/>
                    </w:numPr>
                    <w:contextualSpacing/>
                    <w:rPr>
                      <w:rFonts w:ascii="Arial" w:hAnsi="Arial" w:cs="Arial"/>
                      <w:sz w:val="22"/>
                      <w:szCs w:val="22"/>
                    </w:rPr>
                  </w:pPr>
                  <w:r w:rsidRPr="00817F9F">
                    <w:rPr>
                      <w:rFonts w:ascii="Arial" w:hAnsi="Arial" w:cs="Arial"/>
                      <w:sz w:val="22"/>
                      <w:szCs w:val="22"/>
                    </w:rPr>
                    <w:t>Professional capacity to carry out the assignment (relevant skills, knowledge)</w:t>
                  </w:r>
                </w:p>
                <w:p w14:paraId="01687B29" w14:textId="77777777" w:rsidR="00817F9F" w:rsidRPr="00817F9F" w:rsidRDefault="00817F9F" w:rsidP="00817F9F">
                  <w:pPr>
                    <w:pStyle w:val="ListParagraph"/>
                    <w:numPr>
                      <w:ilvl w:val="0"/>
                      <w:numId w:val="22"/>
                    </w:numPr>
                    <w:contextualSpacing/>
                    <w:rPr>
                      <w:rFonts w:ascii="Arial" w:hAnsi="Arial" w:cs="Arial"/>
                      <w:sz w:val="22"/>
                      <w:szCs w:val="22"/>
                    </w:rPr>
                  </w:pPr>
                  <w:r w:rsidRPr="00817F9F">
                    <w:rPr>
                      <w:rFonts w:ascii="Arial" w:hAnsi="Arial" w:cs="Arial"/>
                      <w:sz w:val="22"/>
                      <w:szCs w:val="22"/>
                    </w:rPr>
                    <w:t>Profile highlighting similar assignments delivered by personnel who will be involved</w:t>
                  </w:r>
                </w:p>
                <w:p w14:paraId="20497C82" w14:textId="77777777" w:rsidR="00817F9F" w:rsidRPr="00817F9F" w:rsidRDefault="00817F9F" w:rsidP="00817F9F">
                  <w:pPr>
                    <w:pStyle w:val="ListParagraph"/>
                    <w:numPr>
                      <w:ilvl w:val="0"/>
                      <w:numId w:val="22"/>
                    </w:numPr>
                    <w:contextualSpacing/>
                    <w:rPr>
                      <w:rFonts w:ascii="Arial" w:hAnsi="Arial" w:cs="Arial"/>
                      <w:sz w:val="22"/>
                      <w:szCs w:val="22"/>
                    </w:rPr>
                  </w:pPr>
                  <w:r w:rsidRPr="00817F9F">
                    <w:rPr>
                      <w:rFonts w:ascii="Arial" w:hAnsi="Arial" w:cs="Arial"/>
                      <w:sz w:val="22"/>
                      <w:szCs w:val="22"/>
                    </w:rPr>
                    <w:t>Management and other staff (reporting, translation, digitization)</w:t>
                  </w:r>
                </w:p>
              </w:tc>
              <w:tc>
                <w:tcPr>
                  <w:tcW w:w="792" w:type="pct"/>
                  <w:vAlign w:val="center"/>
                </w:tcPr>
                <w:p w14:paraId="3E3A4BF0" w14:textId="77777777" w:rsidR="00817F9F" w:rsidRPr="00817F9F" w:rsidRDefault="00817F9F" w:rsidP="00817F9F">
                  <w:pPr>
                    <w:spacing w:line="276" w:lineRule="auto"/>
                    <w:jc w:val="center"/>
                    <w:rPr>
                      <w:rFonts w:cs="Arial"/>
                    </w:rPr>
                  </w:pPr>
                </w:p>
                <w:p w14:paraId="5D800AD1" w14:textId="77777777" w:rsidR="00817F9F" w:rsidRPr="00817F9F" w:rsidRDefault="00817F9F" w:rsidP="00817F9F">
                  <w:pPr>
                    <w:spacing w:line="276" w:lineRule="auto"/>
                    <w:jc w:val="center"/>
                    <w:rPr>
                      <w:rFonts w:cs="Arial"/>
                    </w:rPr>
                  </w:pPr>
                  <w:r w:rsidRPr="00817F9F">
                    <w:rPr>
                      <w:rFonts w:cs="Arial"/>
                    </w:rPr>
                    <w:t>25</w:t>
                  </w:r>
                </w:p>
                <w:p w14:paraId="142BE72B" w14:textId="2DEA02C3" w:rsidR="00817F9F" w:rsidRPr="00817F9F" w:rsidRDefault="000A00D9" w:rsidP="00817F9F">
                  <w:pPr>
                    <w:spacing w:line="276" w:lineRule="auto"/>
                    <w:jc w:val="center"/>
                    <w:rPr>
                      <w:rFonts w:cs="Arial"/>
                    </w:rPr>
                  </w:pPr>
                  <w:r>
                    <w:rPr>
                      <w:rFonts w:cs="Arial"/>
                    </w:rPr>
                    <w:t>10</w:t>
                  </w:r>
                </w:p>
                <w:p w14:paraId="73501E08" w14:textId="50BF3EF4" w:rsidR="00817F9F" w:rsidRPr="00817F9F" w:rsidRDefault="000A00D9" w:rsidP="00817F9F">
                  <w:pPr>
                    <w:spacing w:line="276" w:lineRule="auto"/>
                    <w:jc w:val="center"/>
                    <w:rPr>
                      <w:rFonts w:cs="Arial"/>
                    </w:rPr>
                  </w:pPr>
                  <w:r>
                    <w:rPr>
                      <w:rFonts w:cs="Arial"/>
                    </w:rPr>
                    <w:t>10</w:t>
                  </w:r>
                </w:p>
                <w:p w14:paraId="639D08B3" w14:textId="77777777" w:rsidR="00817F9F" w:rsidRPr="00817F9F" w:rsidRDefault="00817F9F" w:rsidP="00817F9F">
                  <w:pPr>
                    <w:spacing w:line="276" w:lineRule="auto"/>
                    <w:jc w:val="center"/>
                    <w:rPr>
                      <w:rFonts w:cs="Arial"/>
                    </w:rPr>
                  </w:pPr>
                  <w:r w:rsidRPr="00817F9F">
                    <w:rPr>
                      <w:rFonts w:cs="Arial"/>
                    </w:rPr>
                    <w:t>10</w:t>
                  </w:r>
                </w:p>
              </w:tc>
            </w:tr>
            <w:tr w:rsidR="00817F9F" w:rsidRPr="00817F9F" w14:paraId="35203D89" w14:textId="77777777" w:rsidTr="00F75518">
              <w:trPr>
                <w:trHeight w:val="20"/>
              </w:trPr>
              <w:tc>
                <w:tcPr>
                  <w:tcW w:w="4208" w:type="pct"/>
                  <w:vAlign w:val="center"/>
                </w:tcPr>
                <w:p w14:paraId="5812DAC1" w14:textId="77777777" w:rsidR="00817F9F" w:rsidRDefault="00817F9F" w:rsidP="00817F9F">
                  <w:pPr>
                    <w:spacing w:line="276" w:lineRule="auto"/>
                    <w:rPr>
                      <w:rFonts w:cs="Arial"/>
                    </w:rPr>
                  </w:pPr>
                  <w:r>
                    <w:rPr>
                      <w:rFonts w:cs="Arial"/>
                    </w:rPr>
                    <w:t>Presentation:</w:t>
                  </w:r>
                </w:p>
                <w:p w14:paraId="665F0DFB" w14:textId="77777777" w:rsidR="00817F9F" w:rsidRPr="00817F9F" w:rsidRDefault="00817F9F" w:rsidP="00817F9F">
                  <w:pPr>
                    <w:pStyle w:val="ListParagraph"/>
                    <w:numPr>
                      <w:ilvl w:val="0"/>
                      <w:numId w:val="22"/>
                    </w:numPr>
                    <w:contextualSpacing/>
                    <w:rPr>
                      <w:rFonts w:ascii="Arial" w:hAnsi="Arial" w:cs="Arial"/>
                      <w:sz w:val="22"/>
                      <w:szCs w:val="22"/>
                    </w:rPr>
                  </w:pPr>
                  <w:r w:rsidRPr="00817F9F">
                    <w:rPr>
                      <w:rFonts w:ascii="Arial" w:hAnsi="Arial" w:cs="Arial"/>
                      <w:sz w:val="22"/>
                      <w:szCs w:val="22"/>
                    </w:rPr>
                    <w:lastRenderedPageBreak/>
                    <w:t>Methodology</w:t>
                  </w:r>
                </w:p>
                <w:p w14:paraId="67A8374A" w14:textId="77777777" w:rsidR="00817F9F" w:rsidRPr="00817F9F" w:rsidRDefault="00817F9F" w:rsidP="00817F9F">
                  <w:pPr>
                    <w:pStyle w:val="ListParagraph"/>
                    <w:numPr>
                      <w:ilvl w:val="0"/>
                      <w:numId w:val="22"/>
                    </w:numPr>
                    <w:contextualSpacing/>
                    <w:rPr>
                      <w:rFonts w:ascii="Arial" w:hAnsi="Arial" w:cs="Arial"/>
                      <w:sz w:val="22"/>
                      <w:szCs w:val="22"/>
                    </w:rPr>
                  </w:pPr>
                  <w:r w:rsidRPr="00817F9F">
                    <w:rPr>
                      <w:rFonts w:ascii="Arial" w:hAnsi="Arial" w:cs="Arial"/>
                      <w:sz w:val="22"/>
                      <w:szCs w:val="22"/>
                    </w:rPr>
                    <w:t>Professional capacity to carry out the assignment (relevant skills, knowledge)</w:t>
                  </w:r>
                </w:p>
                <w:p w14:paraId="3B5DFB4F" w14:textId="77777777" w:rsidR="00817F9F" w:rsidRPr="00817F9F" w:rsidRDefault="00817F9F" w:rsidP="00817F9F">
                  <w:pPr>
                    <w:pStyle w:val="ListParagraph"/>
                    <w:numPr>
                      <w:ilvl w:val="0"/>
                      <w:numId w:val="22"/>
                    </w:numPr>
                    <w:contextualSpacing/>
                    <w:rPr>
                      <w:rFonts w:ascii="Arial" w:hAnsi="Arial" w:cs="Arial"/>
                      <w:sz w:val="22"/>
                      <w:szCs w:val="22"/>
                    </w:rPr>
                  </w:pPr>
                  <w:r w:rsidRPr="00817F9F">
                    <w:rPr>
                      <w:rFonts w:ascii="Arial" w:hAnsi="Arial" w:cs="Arial"/>
                      <w:sz w:val="22"/>
                      <w:szCs w:val="22"/>
                    </w:rPr>
                    <w:t>Profile highlighting similar assignments delivered by personnel who will be involved</w:t>
                  </w:r>
                </w:p>
                <w:p w14:paraId="41BD8653" w14:textId="2E59E69B" w:rsidR="00817F9F" w:rsidRPr="00013619" w:rsidRDefault="00817F9F" w:rsidP="00013619">
                  <w:pPr>
                    <w:pStyle w:val="ListParagraph"/>
                    <w:numPr>
                      <w:ilvl w:val="0"/>
                      <w:numId w:val="22"/>
                    </w:numPr>
                    <w:spacing w:line="276" w:lineRule="auto"/>
                    <w:rPr>
                      <w:rFonts w:ascii="Arial" w:hAnsi="Arial" w:cs="Arial"/>
                    </w:rPr>
                  </w:pPr>
                  <w:r w:rsidRPr="00013619">
                    <w:rPr>
                      <w:rFonts w:ascii="Arial" w:hAnsi="Arial" w:cs="Arial"/>
                      <w:sz w:val="22"/>
                      <w:szCs w:val="22"/>
                    </w:rPr>
                    <w:t>Management and other staff (reporting, translation, digitization)</w:t>
                  </w:r>
                </w:p>
              </w:tc>
              <w:tc>
                <w:tcPr>
                  <w:tcW w:w="792" w:type="pct"/>
                  <w:vAlign w:val="center"/>
                </w:tcPr>
                <w:p w14:paraId="1ED6E51D" w14:textId="2609E759" w:rsidR="00817F9F" w:rsidRPr="00817F9F" w:rsidRDefault="00817F9F" w:rsidP="00817F9F">
                  <w:pPr>
                    <w:spacing w:line="276" w:lineRule="auto"/>
                    <w:jc w:val="center"/>
                    <w:rPr>
                      <w:rFonts w:cs="Arial"/>
                    </w:rPr>
                  </w:pPr>
                  <w:r>
                    <w:rPr>
                      <w:rFonts w:cs="Arial"/>
                    </w:rPr>
                    <w:lastRenderedPageBreak/>
                    <w:t>20</w:t>
                  </w:r>
                </w:p>
              </w:tc>
            </w:tr>
            <w:tr w:rsidR="00817F9F" w:rsidRPr="00817F9F" w14:paraId="4E97D4D2" w14:textId="77777777" w:rsidTr="00F75518">
              <w:trPr>
                <w:trHeight w:val="20"/>
              </w:trPr>
              <w:tc>
                <w:tcPr>
                  <w:tcW w:w="4208" w:type="pct"/>
                  <w:vAlign w:val="center"/>
                </w:tcPr>
                <w:p w14:paraId="795E59CD" w14:textId="77777777" w:rsidR="00817F9F" w:rsidRPr="00817F9F" w:rsidRDefault="00817F9F" w:rsidP="00817F9F">
                  <w:pPr>
                    <w:spacing w:line="276" w:lineRule="auto"/>
                    <w:rPr>
                      <w:rFonts w:cs="Arial"/>
                    </w:rPr>
                  </w:pPr>
                  <w:r w:rsidRPr="00817F9F">
                    <w:rPr>
                      <w:rFonts w:cs="Arial"/>
                    </w:rPr>
                    <w:t xml:space="preserve">Financial proposal based on the proposed methodology and sample size </w:t>
                  </w:r>
                </w:p>
              </w:tc>
              <w:tc>
                <w:tcPr>
                  <w:tcW w:w="792" w:type="pct"/>
                  <w:vAlign w:val="center"/>
                </w:tcPr>
                <w:p w14:paraId="33A7FCBE" w14:textId="0296ABD3" w:rsidR="00817F9F" w:rsidRPr="00817F9F" w:rsidRDefault="00817F9F" w:rsidP="00817F9F">
                  <w:pPr>
                    <w:spacing w:line="276" w:lineRule="auto"/>
                    <w:jc w:val="center"/>
                    <w:rPr>
                      <w:rFonts w:cs="Arial"/>
                    </w:rPr>
                  </w:pPr>
                  <w:r>
                    <w:rPr>
                      <w:rFonts w:cs="Arial"/>
                    </w:rPr>
                    <w:t>2</w:t>
                  </w:r>
                  <w:r w:rsidR="000A00D9">
                    <w:rPr>
                      <w:rFonts w:cs="Arial"/>
                    </w:rPr>
                    <w:t>5</w:t>
                  </w:r>
                </w:p>
              </w:tc>
            </w:tr>
            <w:tr w:rsidR="00817F9F" w:rsidRPr="00817F9F" w14:paraId="577642BF" w14:textId="77777777" w:rsidTr="00F75518">
              <w:trPr>
                <w:trHeight w:val="20"/>
              </w:trPr>
              <w:tc>
                <w:tcPr>
                  <w:tcW w:w="4208" w:type="pct"/>
                  <w:vAlign w:val="center"/>
                </w:tcPr>
                <w:p w14:paraId="31CC674A" w14:textId="77777777" w:rsidR="00817F9F" w:rsidRPr="00817F9F" w:rsidRDefault="00817F9F" w:rsidP="00817F9F">
                  <w:pPr>
                    <w:spacing w:line="276" w:lineRule="auto"/>
                    <w:rPr>
                      <w:rFonts w:cs="Arial"/>
                      <w:b/>
                      <w:bCs/>
                    </w:rPr>
                  </w:pPr>
                  <w:r w:rsidRPr="00817F9F">
                    <w:rPr>
                      <w:rFonts w:cs="Arial"/>
                      <w:b/>
                      <w:bCs/>
                    </w:rPr>
                    <w:t>Total</w:t>
                  </w:r>
                </w:p>
              </w:tc>
              <w:tc>
                <w:tcPr>
                  <w:tcW w:w="792" w:type="pct"/>
                  <w:vAlign w:val="center"/>
                </w:tcPr>
                <w:p w14:paraId="09A3440C" w14:textId="77777777" w:rsidR="00817F9F" w:rsidRPr="00817F9F" w:rsidRDefault="00817F9F" w:rsidP="00817F9F">
                  <w:pPr>
                    <w:spacing w:line="276" w:lineRule="auto"/>
                    <w:jc w:val="center"/>
                    <w:rPr>
                      <w:rFonts w:cs="Arial"/>
                      <w:b/>
                      <w:bCs/>
                    </w:rPr>
                  </w:pPr>
                  <w:r w:rsidRPr="00817F9F">
                    <w:rPr>
                      <w:rFonts w:cs="Arial"/>
                      <w:b/>
                      <w:bCs/>
                    </w:rPr>
                    <w:t>100</w:t>
                  </w:r>
                </w:p>
              </w:tc>
            </w:tr>
          </w:tbl>
          <w:p w14:paraId="7246CE4D" w14:textId="77777777" w:rsidR="00A34BFE" w:rsidRPr="00090673" w:rsidRDefault="00A34BFE" w:rsidP="00431EEC">
            <w:pPr>
              <w:rPr>
                <w:rFonts w:eastAsia="Calibri" w:cs="Arial"/>
                <w:b/>
                <w:bCs/>
                <w:iCs/>
              </w:rPr>
            </w:pPr>
          </w:p>
          <w:p w14:paraId="21655576" w14:textId="77777777" w:rsidR="00C77D3B" w:rsidRPr="00090673" w:rsidRDefault="00C77D3B" w:rsidP="00431EEC">
            <w:pPr>
              <w:rPr>
                <w:rFonts w:eastAsia="Calibri" w:cs="Arial"/>
                <w:b/>
                <w:bCs/>
                <w:iCs/>
              </w:rPr>
            </w:pPr>
            <w:r w:rsidRPr="00090673">
              <w:rPr>
                <w:rFonts w:eastAsia="Calibri" w:cs="Arial"/>
                <w:b/>
                <w:bCs/>
                <w:iCs/>
              </w:rPr>
              <w:t>Tax arrangements:</w:t>
            </w:r>
          </w:p>
          <w:p w14:paraId="478C6283" w14:textId="77777777" w:rsidR="00C77D3B" w:rsidRPr="00090673" w:rsidRDefault="00C77D3B" w:rsidP="00431EEC">
            <w:pPr>
              <w:jc w:val="both"/>
              <w:rPr>
                <w:rFonts w:eastAsia="Calibri" w:cs="Arial"/>
                <w:color w:val="auto"/>
              </w:rPr>
            </w:pPr>
            <w:r w:rsidRPr="00090673">
              <w:rPr>
                <w:rFonts w:eastAsia="Calibri" w:cs="Arial"/>
                <w:color w:val="auto"/>
              </w:rPr>
              <w:t>HFHI-B will deduct withholding tax from the consultancy fees which will be in conformity with the prevailing government rates.</w:t>
            </w:r>
          </w:p>
          <w:p w14:paraId="6FAC22D7" w14:textId="77777777" w:rsidR="00C77D3B" w:rsidRPr="00090673" w:rsidRDefault="00C77D3B" w:rsidP="00431EEC">
            <w:pPr>
              <w:rPr>
                <w:rFonts w:eastAsia="Calibri" w:cs="Arial"/>
                <w:i/>
              </w:rPr>
            </w:pPr>
          </w:p>
          <w:p w14:paraId="39C1777C" w14:textId="77777777" w:rsidR="00C77D3B" w:rsidRPr="00090673" w:rsidRDefault="00C77D3B" w:rsidP="00431EEC">
            <w:pPr>
              <w:rPr>
                <w:rFonts w:eastAsia="Calibri" w:cs="Arial"/>
                <w:b/>
                <w:bCs/>
                <w:iCs/>
              </w:rPr>
            </w:pPr>
            <w:r w:rsidRPr="00090673">
              <w:rPr>
                <w:rFonts w:eastAsia="Calibri" w:cs="Arial"/>
                <w:b/>
                <w:bCs/>
                <w:iCs/>
              </w:rPr>
              <w:t>Submission requirements:</w:t>
            </w:r>
          </w:p>
          <w:p w14:paraId="4E11A0BE" w14:textId="77777777" w:rsidR="00C77D3B" w:rsidRPr="00090673" w:rsidRDefault="00C77D3B" w:rsidP="00431EEC">
            <w:pPr>
              <w:jc w:val="both"/>
              <w:rPr>
                <w:rFonts w:eastAsia="Calibri" w:cs="Arial"/>
                <w:color w:val="auto"/>
              </w:rPr>
            </w:pPr>
            <w:r w:rsidRPr="00090673">
              <w:rPr>
                <w:rFonts w:eastAsia="Calibri" w:cs="Arial"/>
                <w:color w:val="auto"/>
              </w:rPr>
              <w:t>Consultants who meet the requirements should submit a maximum of 10 pages’ expression of interest, which should include the following:</w:t>
            </w:r>
          </w:p>
          <w:p w14:paraId="15508AEB" w14:textId="77777777" w:rsidR="00C77D3B" w:rsidRPr="00090673" w:rsidRDefault="00C77D3B">
            <w:pPr>
              <w:numPr>
                <w:ilvl w:val="0"/>
                <w:numId w:val="2"/>
              </w:numPr>
              <w:jc w:val="both"/>
              <w:rPr>
                <w:rFonts w:eastAsia="Calibri" w:cs="Arial"/>
                <w:color w:val="auto"/>
              </w:rPr>
            </w:pPr>
            <w:r w:rsidRPr="00090673">
              <w:rPr>
                <w:rFonts w:eastAsia="Calibri" w:cs="Arial"/>
                <w:color w:val="auto"/>
              </w:rPr>
              <w:t>A suitability statement, including commitment to availability for the entire assignment.</w:t>
            </w:r>
          </w:p>
          <w:p w14:paraId="4DEE1071" w14:textId="55478A86" w:rsidR="00C77D3B" w:rsidRPr="00090673" w:rsidRDefault="00C77D3B">
            <w:pPr>
              <w:numPr>
                <w:ilvl w:val="0"/>
                <w:numId w:val="2"/>
              </w:numPr>
              <w:jc w:val="both"/>
              <w:rPr>
                <w:rFonts w:eastAsia="Calibri" w:cs="Arial"/>
                <w:color w:val="auto"/>
              </w:rPr>
            </w:pPr>
            <w:r w:rsidRPr="00090673">
              <w:rPr>
                <w:rFonts w:eastAsia="Calibri" w:cs="Arial"/>
                <w:color w:val="auto"/>
              </w:rPr>
              <w:t xml:space="preserve">A brief </w:t>
            </w:r>
            <w:r w:rsidR="003768B4" w:rsidRPr="00090673">
              <w:rPr>
                <w:rFonts w:eastAsia="Calibri" w:cs="Arial"/>
                <w:color w:val="auto"/>
              </w:rPr>
              <w:t>statement</w:t>
            </w:r>
            <w:r w:rsidRPr="00090673">
              <w:rPr>
                <w:rFonts w:eastAsia="Calibri" w:cs="Arial"/>
                <w:color w:val="auto"/>
              </w:rPr>
              <w:t xml:space="preserve"> on the proposed study methodology</w:t>
            </w:r>
            <w:r w:rsidR="003B0A56" w:rsidRPr="00090673">
              <w:rPr>
                <w:rFonts w:eastAsia="Calibri" w:cs="Arial"/>
                <w:color w:val="auto"/>
              </w:rPr>
              <w:t xml:space="preserve"> (</w:t>
            </w:r>
            <w:r w:rsidR="001137CC" w:rsidRPr="00090673">
              <w:rPr>
                <w:rFonts w:eastAsia="Calibri" w:cs="Arial"/>
                <w:color w:val="auto"/>
              </w:rPr>
              <w:t xml:space="preserve">both </w:t>
            </w:r>
            <w:r w:rsidR="003B0A56" w:rsidRPr="00090673">
              <w:rPr>
                <w:rFonts w:eastAsia="Calibri" w:cs="Arial"/>
                <w:color w:val="auto"/>
              </w:rPr>
              <w:t>qualitative a</w:t>
            </w:r>
            <w:r w:rsidR="001137CC" w:rsidRPr="00090673">
              <w:rPr>
                <w:rFonts w:eastAsia="Calibri" w:cs="Arial"/>
                <w:color w:val="auto"/>
              </w:rPr>
              <w:t>n</w:t>
            </w:r>
            <w:r w:rsidR="003B0A56" w:rsidRPr="00090673">
              <w:rPr>
                <w:rFonts w:eastAsia="Calibri" w:cs="Arial"/>
                <w:color w:val="auto"/>
              </w:rPr>
              <w:t>d quantitative)</w:t>
            </w:r>
            <w:r w:rsidRPr="00090673">
              <w:rPr>
                <w:rFonts w:eastAsia="Calibri" w:cs="Arial"/>
                <w:color w:val="auto"/>
              </w:rPr>
              <w:t xml:space="preserve"> </w:t>
            </w:r>
            <w:proofErr w:type="gramStart"/>
            <w:r w:rsidRPr="00090673">
              <w:rPr>
                <w:rFonts w:eastAsia="Calibri" w:cs="Arial"/>
                <w:color w:val="auto"/>
              </w:rPr>
              <w:t>including</w:t>
            </w:r>
            <w:proofErr w:type="gramEnd"/>
            <w:r w:rsidRPr="00090673">
              <w:rPr>
                <w:rFonts w:eastAsia="Calibri" w:cs="Arial"/>
                <w:color w:val="auto"/>
              </w:rPr>
              <w:t xml:space="preserve"> a detailed work plan.</w:t>
            </w:r>
          </w:p>
          <w:p w14:paraId="40F9AC4C" w14:textId="77777777" w:rsidR="00C77D3B" w:rsidRPr="00090673" w:rsidRDefault="00C77D3B">
            <w:pPr>
              <w:numPr>
                <w:ilvl w:val="0"/>
                <w:numId w:val="2"/>
              </w:numPr>
              <w:jc w:val="both"/>
              <w:rPr>
                <w:rFonts w:eastAsia="Calibri" w:cs="Arial"/>
                <w:color w:val="auto"/>
              </w:rPr>
            </w:pPr>
            <w:r w:rsidRPr="00090673">
              <w:rPr>
                <w:rFonts w:eastAsia="Calibri" w:cs="Arial"/>
                <w:color w:val="auto"/>
              </w:rPr>
              <w:t>A detailed financial proposal, including daily cost as per major activity.</w:t>
            </w:r>
          </w:p>
          <w:p w14:paraId="4553B301" w14:textId="77777777" w:rsidR="00C77D3B" w:rsidRPr="00090673" w:rsidRDefault="00C77D3B">
            <w:pPr>
              <w:numPr>
                <w:ilvl w:val="0"/>
                <w:numId w:val="2"/>
              </w:numPr>
              <w:jc w:val="both"/>
              <w:rPr>
                <w:rFonts w:eastAsia="Calibri" w:cs="Arial"/>
                <w:color w:val="auto"/>
              </w:rPr>
            </w:pPr>
            <w:r w:rsidRPr="00090673">
              <w:rPr>
                <w:rFonts w:eastAsia="Calibri" w:cs="Arial"/>
                <w:color w:val="auto"/>
              </w:rPr>
              <w:t>Updated curriculum vitae of consultants that clearly spell out qualifications and experience.</w:t>
            </w:r>
          </w:p>
          <w:p w14:paraId="37070D92" w14:textId="452399EF" w:rsidR="00C77D3B" w:rsidRPr="00090673" w:rsidRDefault="00C77D3B">
            <w:pPr>
              <w:numPr>
                <w:ilvl w:val="0"/>
                <w:numId w:val="2"/>
              </w:numPr>
              <w:jc w:val="both"/>
              <w:rPr>
                <w:rFonts w:eastAsia="Calibri" w:cs="Arial"/>
                <w:color w:val="auto"/>
              </w:rPr>
            </w:pPr>
            <w:r w:rsidRPr="00090673">
              <w:rPr>
                <w:rFonts w:eastAsia="Calibri" w:cs="Arial"/>
                <w:color w:val="auto"/>
              </w:rPr>
              <w:t xml:space="preserve">Contacts of 03 organizations that have recently contracted the consultant to carry out </w:t>
            </w:r>
            <w:r w:rsidR="00577298" w:rsidRPr="00090673">
              <w:rPr>
                <w:rFonts w:eastAsia="Calibri" w:cs="Arial"/>
                <w:color w:val="auto"/>
              </w:rPr>
              <w:t>impact</w:t>
            </w:r>
            <w:r w:rsidRPr="00090673">
              <w:rPr>
                <w:rFonts w:eastAsia="Calibri" w:cs="Arial"/>
                <w:color w:val="auto"/>
              </w:rPr>
              <w:t xml:space="preserve"> Study</w:t>
            </w:r>
            <w:r w:rsidR="00577298" w:rsidRPr="00090673">
              <w:rPr>
                <w:rFonts w:eastAsia="Calibri" w:cs="Arial"/>
                <w:color w:val="auto"/>
              </w:rPr>
              <w:t>/gap analysis</w:t>
            </w:r>
            <w:r w:rsidRPr="00090673">
              <w:rPr>
                <w:rFonts w:eastAsia="Calibri" w:cs="Arial"/>
                <w:color w:val="auto"/>
              </w:rPr>
              <w:t>.</w:t>
            </w:r>
          </w:p>
          <w:p w14:paraId="24A07C92" w14:textId="77777777" w:rsidR="00575325" w:rsidRPr="00090673" w:rsidRDefault="00575325">
            <w:pPr>
              <w:numPr>
                <w:ilvl w:val="0"/>
                <w:numId w:val="2"/>
              </w:numPr>
              <w:jc w:val="both"/>
              <w:rPr>
                <w:rFonts w:eastAsia="Calibri" w:cs="Arial"/>
                <w:color w:val="auto"/>
              </w:rPr>
            </w:pPr>
            <w:r w:rsidRPr="00090673">
              <w:rPr>
                <w:rFonts w:eastAsia="Calibri" w:cs="Arial"/>
                <w:color w:val="auto"/>
              </w:rPr>
              <w:t>At least 2 sample copies of similar study report.</w:t>
            </w:r>
          </w:p>
          <w:p w14:paraId="3BD7C169" w14:textId="77777777" w:rsidR="00C77D3B" w:rsidRPr="00090673" w:rsidRDefault="00C77D3B" w:rsidP="00431EEC">
            <w:pPr>
              <w:rPr>
                <w:rFonts w:eastAsia="Calibri" w:cs="Arial"/>
                <w:i/>
              </w:rPr>
            </w:pPr>
          </w:p>
          <w:p w14:paraId="5F23A0D9" w14:textId="77777777" w:rsidR="00C77D3B" w:rsidRPr="00090673" w:rsidRDefault="00C77D3B" w:rsidP="00431EEC">
            <w:pPr>
              <w:rPr>
                <w:rFonts w:eastAsia="Calibri" w:cs="Arial"/>
                <w:b/>
                <w:bCs/>
                <w:iCs/>
              </w:rPr>
            </w:pPr>
            <w:r w:rsidRPr="00090673">
              <w:rPr>
                <w:rFonts w:eastAsia="Calibri" w:cs="Arial"/>
                <w:b/>
                <w:bCs/>
                <w:iCs/>
              </w:rPr>
              <w:t>Application procedures:</w:t>
            </w:r>
          </w:p>
          <w:p w14:paraId="74DE9E83" w14:textId="77777777" w:rsidR="00C77D3B" w:rsidRPr="00090673" w:rsidRDefault="00C77D3B" w:rsidP="00431EEC">
            <w:pPr>
              <w:rPr>
                <w:rFonts w:eastAsia="Calibri" w:cs="Arial"/>
                <w:i/>
              </w:rPr>
            </w:pPr>
          </w:p>
          <w:p w14:paraId="1B740732" w14:textId="4EC97DE1" w:rsidR="00C77D3B" w:rsidRPr="00090673" w:rsidRDefault="00C77D3B" w:rsidP="00431EEC">
            <w:pPr>
              <w:jc w:val="both"/>
              <w:rPr>
                <w:rFonts w:eastAsia="Calibri" w:cs="Arial"/>
                <w:color w:val="auto"/>
              </w:rPr>
            </w:pPr>
            <w:r w:rsidRPr="00090673">
              <w:rPr>
                <w:rFonts w:eastAsia="Calibri" w:cs="Arial"/>
                <w:color w:val="auto"/>
              </w:rPr>
              <w:t xml:space="preserve">If you are convinced you meet the above qualifications and requirements, please send your application with required documents </w:t>
            </w:r>
            <w:r w:rsidR="000573C3" w:rsidRPr="00090673">
              <w:rPr>
                <w:rFonts w:eastAsia="Calibri" w:cs="Arial"/>
                <w:color w:val="auto"/>
              </w:rPr>
              <w:t>to</w:t>
            </w:r>
            <w:r w:rsidR="00597D49" w:rsidRPr="00090673">
              <w:rPr>
                <w:rFonts w:eastAsia="Calibri" w:cs="Arial"/>
                <w:color w:val="auto"/>
              </w:rPr>
              <w:t xml:space="preserve"> the </w:t>
            </w:r>
            <w:r w:rsidR="000573C3" w:rsidRPr="00090673">
              <w:rPr>
                <w:rFonts w:eastAsia="Calibri" w:cs="Arial"/>
                <w:color w:val="auto"/>
              </w:rPr>
              <w:t>address below</w:t>
            </w:r>
            <w:r w:rsidR="00597D49" w:rsidRPr="00090673">
              <w:rPr>
                <w:rFonts w:eastAsia="Calibri" w:cs="Arial"/>
                <w:color w:val="auto"/>
              </w:rPr>
              <w:t>.</w:t>
            </w:r>
            <w:r w:rsidRPr="00090673">
              <w:rPr>
                <w:rFonts w:eastAsia="Calibri" w:cs="Arial"/>
                <w:color w:val="auto"/>
              </w:rPr>
              <w:t xml:space="preserve"> </w:t>
            </w:r>
          </w:p>
          <w:p w14:paraId="4D44C987" w14:textId="77777777" w:rsidR="00C77D3B" w:rsidRPr="00090673" w:rsidRDefault="00C77D3B" w:rsidP="00431EEC">
            <w:pPr>
              <w:jc w:val="both"/>
              <w:rPr>
                <w:rFonts w:eastAsia="Calibri" w:cs="Arial"/>
                <w:color w:val="auto"/>
              </w:rPr>
            </w:pPr>
          </w:p>
          <w:p w14:paraId="62F41B01" w14:textId="77777777" w:rsidR="00C77D3B" w:rsidRPr="00090673" w:rsidRDefault="00C77D3B" w:rsidP="00431EEC">
            <w:pPr>
              <w:jc w:val="center"/>
              <w:rPr>
                <w:rFonts w:eastAsia="Calibri" w:cs="Arial"/>
                <w:b/>
                <w:color w:val="auto"/>
                <w:u w:val="single"/>
              </w:rPr>
            </w:pPr>
            <w:r w:rsidRPr="00090673">
              <w:rPr>
                <w:rFonts w:eastAsia="Calibri" w:cs="Arial"/>
                <w:b/>
                <w:color w:val="auto"/>
                <w:u w:val="single"/>
              </w:rPr>
              <w:t>Address for Application:</w:t>
            </w:r>
          </w:p>
          <w:p w14:paraId="49BCE2D5" w14:textId="77777777" w:rsidR="009E2C4A" w:rsidRPr="00090673" w:rsidRDefault="00C77D3B" w:rsidP="009E2C4A">
            <w:pPr>
              <w:shd w:val="clear" w:color="auto" w:fill="FFFFFF"/>
              <w:rPr>
                <w:rFonts w:cs="Arial"/>
                <w:color w:val="auto"/>
              </w:rPr>
            </w:pPr>
            <w:r w:rsidRPr="00090673">
              <w:rPr>
                <w:rFonts w:cs="Arial"/>
                <w:color w:val="auto"/>
              </w:rPr>
              <w:t xml:space="preserve">The expression of interest should be submitted to the following address: Procurement Committee, </w:t>
            </w:r>
            <w:r w:rsidR="009E2C4A" w:rsidRPr="00090673">
              <w:rPr>
                <w:rFonts w:cs="Arial"/>
                <w:color w:val="auto"/>
              </w:rPr>
              <w:t>Habitat for Humanity International Bangladesh,6th floor, Edison Anika Height,</w:t>
            </w:r>
          </w:p>
          <w:p w14:paraId="17E9000F" w14:textId="0E01FDE9" w:rsidR="00C77D3B" w:rsidRPr="00090673" w:rsidRDefault="009E2C4A" w:rsidP="00431EEC">
            <w:pPr>
              <w:rPr>
                <w:rFonts w:cs="Arial"/>
                <w:color w:val="auto"/>
              </w:rPr>
            </w:pPr>
            <w:r w:rsidRPr="00090673">
              <w:rPr>
                <w:rFonts w:cs="Arial"/>
                <w:color w:val="auto"/>
              </w:rPr>
              <w:t>NW(A) - 163/2B, Gulshan-2, Dhaka-1212, Bangladesh</w:t>
            </w:r>
            <w:r w:rsidR="0052373D" w:rsidRPr="00090673">
              <w:rPr>
                <w:rFonts w:cs="Arial"/>
                <w:color w:val="auto"/>
              </w:rPr>
              <w:t xml:space="preserve"> </w:t>
            </w:r>
            <w:r w:rsidR="00C77D3B" w:rsidRPr="00090673">
              <w:rPr>
                <w:rFonts w:cs="Arial"/>
                <w:color w:val="auto"/>
              </w:rPr>
              <w:t xml:space="preserve">or by email to </w:t>
            </w:r>
            <w:hyperlink r:id="rId12" w:history="1">
              <w:r w:rsidR="00C77D3B" w:rsidRPr="00090673">
                <w:rPr>
                  <w:rFonts w:eastAsia="Times New Roman" w:cs="Arial"/>
                  <w:bCs/>
                  <w:color w:val="0000FF"/>
                  <w:u w:val="single"/>
                  <w:lang w:eastAsia="en-US"/>
                </w:rPr>
                <w:t>procurement@habitatbangladesh.org</w:t>
              </w:r>
            </w:hyperlink>
            <w:r w:rsidR="00C77D3B" w:rsidRPr="00090673">
              <w:rPr>
                <w:rFonts w:cs="Arial"/>
                <w:color w:val="auto"/>
              </w:rPr>
              <w:t xml:space="preserve"> The closing date for submission is </w:t>
            </w:r>
            <w:r w:rsidR="00C77D3B" w:rsidRPr="00090673">
              <w:rPr>
                <w:rFonts w:cs="Arial"/>
                <w:b/>
                <w:color w:val="auto"/>
              </w:rPr>
              <w:t xml:space="preserve">on </w:t>
            </w:r>
            <w:r w:rsidR="000652BB" w:rsidRPr="00090673">
              <w:rPr>
                <w:rFonts w:cs="Arial"/>
                <w:b/>
                <w:color w:val="auto"/>
              </w:rPr>
              <w:t>7</w:t>
            </w:r>
            <w:r w:rsidR="00672716" w:rsidRPr="00090673">
              <w:rPr>
                <w:rFonts w:cs="Arial"/>
                <w:b/>
                <w:color w:val="auto"/>
              </w:rPr>
              <w:t xml:space="preserve"> </w:t>
            </w:r>
            <w:r w:rsidR="000652BB" w:rsidRPr="00090673">
              <w:rPr>
                <w:rFonts w:cs="Arial"/>
                <w:b/>
                <w:color w:val="auto"/>
              </w:rPr>
              <w:t>June</w:t>
            </w:r>
            <w:r w:rsidR="00C77D3B" w:rsidRPr="00090673">
              <w:rPr>
                <w:rFonts w:cs="Arial"/>
                <w:b/>
                <w:color w:val="auto"/>
              </w:rPr>
              <w:t xml:space="preserve"> 202</w:t>
            </w:r>
            <w:r w:rsidR="000652BB" w:rsidRPr="00090673">
              <w:rPr>
                <w:rFonts w:cs="Arial"/>
                <w:b/>
                <w:color w:val="auto"/>
              </w:rPr>
              <w:t>6</w:t>
            </w:r>
            <w:r w:rsidR="00C77D3B" w:rsidRPr="00090673">
              <w:rPr>
                <w:rFonts w:cs="Arial"/>
                <w:b/>
                <w:color w:val="auto"/>
              </w:rPr>
              <w:t xml:space="preserve"> by 4.30 pm.</w:t>
            </w:r>
            <w:r w:rsidR="00C77D3B" w:rsidRPr="00090673">
              <w:rPr>
                <w:rFonts w:eastAsia="Calibri" w:cs="Arial"/>
                <w:b/>
                <w:color w:val="auto"/>
              </w:rPr>
              <w:t xml:space="preserve"> </w:t>
            </w:r>
          </w:p>
          <w:p w14:paraId="60B3FCD0" w14:textId="77777777" w:rsidR="00767D95" w:rsidRPr="00090673" w:rsidRDefault="00767D95" w:rsidP="00431EEC">
            <w:pPr>
              <w:rPr>
                <w:rFonts w:eastAsia="Calibri" w:cs="Arial"/>
                <w:b/>
                <w:bCs/>
                <w:iCs/>
              </w:rPr>
            </w:pPr>
          </w:p>
          <w:p w14:paraId="73F6AEB2" w14:textId="77777777" w:rsidR="00C77D3B" w:rsidRPr="00090673" w:rsidRDefault="00C77D3B" w:rsidP="00431EEC">
            <w:pPr>
              <w:rPr>
                <w:rFonts w:eastAsia="Calibri" w:cs="Arial"/>
                <w:b/>
                <w:bCs/>
                <w:iCs/>
              </w:rPr>
            </w:pPr>
            <w:r w:rsidRPr="00090673">
              <w:rPr>
                <w:rFonts w:eastAsia="Calibri" w:cs="Arial"/>
                <w:b/>
                <w:bCs/>
                <w:iCs/>
              </w:rPr>
              <w:t>Management and Coordination:</w:t>
            </w:r>
          </w:p>
          <w:p w14:paraId="5998DB86" w14:textId="60281D08" w:rsidR="00C77D3B" w:rsidRPr="00090673" w:rsidRDefault="00C77D3B" w:rsidP="00431EEC">
            <w:pPr>
              <w:jc w:val="both"/>
              <w:rPr>
                <w:rFonts w:eastAsia="Calibri" w:cs="Arial"/>
                <w:color w:val="auto"/>
              </w:rPr>
            </w:pPr>
            <w:r w:rsidRPr="00090673">
              <w:rPr>
                <w:rFonts w:eastAsia="Calibri" w:cs="Arial"/>
                <w:color w:val="auto"/>
              </w:rPr>
              <w:t xml:space="preserve">The overall supervisor of this assignment will be the </w:t>
            </w:r>
            <w:r w:rsidR="000652BB" w:rsidRPr="00090673">
              <w:rPr>
                <w:rFonts w:eastAsia="Calibri" w:cs="Arial"/>
                <w:color w:val="auto"/>
              </w:rPr>
              <w:t>Manager</w:t>
            </w:r>
            <w:r w:rsidRPr="00090673">
              <w:rPr>
                <w:rFonts w:eastAsia="Calibri" w:cs="Arial"/>
                <w:color w:val="auto"/>
              </w:rPr>
              <w:t xml:space="preserve">-MEAL of HFHI-B. The MEAL </w:t>
            </w:r>
            <w:r w:rsidR="000652BB" w:rsidRPr="00090673">
              <w:rPr>
                <w:rFonts w:eastAsia="Calibri" w:cs="Arial"/>
                <w:color w:val="auto"/>
              </w:rPr>
              <w:t>foc</w:t>
            </w:r>
            <w:r w:rsidR="000D6B09" w:rsidRPr="00090673">
              <w:rPr>
                <w:rFonts w:eastAsia="Calibri" w:cs="Arial"/>
                <w:color w:val="auto"/>
              </w:rPr>
              <w:t>al</w:t>
            </w:r>
            <w:r w:rsidRPr="00090673">
              <w:rPr>
                <w:rFonts w:eastAsia="Calibri" w:cs="Arial"/>
                <w:color w:val="auto"/>
              </w:rPr>
              <w:t xml:space="preserve"> will also facilitate review and approval of deliverables to key Habitat staff and other designated persons.</w:t>
            </w:r>
          </w:p>
        </w:tc>
      </w:tr>
    </w:tbl>
    <w:p w14:paraId="710CE9C3" w14:textId="77777777" w:rsidR="007E1797" w:rsidRPr="00090673" w:rsidRDefault="007E1797" w:rsidP="007E1797">
      <w:pPr>
        <w:rPr>
          <w:rFonts w:eastAsia="Calibri" w:cs="Arial"/>
          <w:lang w:val="en-AU"/>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4A0" w:firstRow="1" w:lastRow="0" w:firstColumn="1" w:lastColumn="0" w:noHBand="0" w:noVBand="1"/>
      </w:tblPr>
      <w:tblGrid>
        <w:gridCol w:w="9305"/>
      </w:tblGrid>
      <w:tr w:rsidR="003D3C4F" w:rsidRPr="00090673" w14:paraId="5DE6B60E" w14:textId="77777777" w:rsidTr="00EC0183">
        <w:tc>
          <w:tcPr>
            <w:tcW w:w="9545" w:type="dxa"/>
            <w:shd w:val="clear" w:color="auto" w:fill="D9E2F3"/>
          </w:tcPr>
          <w:p w14:paraId="1770CFF5" w14:textId="77777777" w:rsidR="003D3C4F" w:rsidRPr="00090673" w:rsidRDefault="003D3C4F" w:rsidP="000573C3">
            <w:pPr>
              <w:numPr>
                <w:ilvl w:val="0"/>
                <w:numId w:val="1"/>
              </w:numPr>
              <w:ind w:left="720"/>
              <w:rPr>
                <w:rFonts w:eastAsia="Calibri" w:cs="Arial"/>
                <w:b/>
                <w:bCs/>
                <w:iCs/>
              </w:rPr>
            </w:pPr>
            <w:r w:rsidRPr="00090673">
              <w:rPr>
                <w:rFonts w:eastAsia="Calibri" w:cs="Arial"/>
                <w:b/>
                <w:bCs/>
                <w:iCs/>
              </w:rPr>
              <w:t>Ethical Standards and Intellectual Property</w:t>
            </w:r>
          </w:p>
        </w:tc>
      </w:tr>
      <w:tr w:rsidR="003D3C4F" w:rsidRPr="00090673" w14:paraId="1D684E16" w14:textId="77777777" w:rsidTr="00EC0183">
        <w:tc>
          <w:tcPr>
            <w:tcW w:w="9545" w:type="dxa"/>
          </w:tcPr>
          <w:p w14:paraId="0226AD97" w14:textId="467A0124" w:rsidR="003B0A56" w:rsidRPr="00090673" w:rsidRDefault="003B0A56" w:rsidP="003B0A56">
            <w:pPr>
              <w:jc w:val="both"/>
              <w:rPr>
                <w:rFonts w:eastAsia="Calibri" w:cs="Arial"/>
                <w:color w:val="auto"/>
              </w:rPr>
            </w:pPr>
            <w:r w:rsidRPr="00090673">
              <w:rPr>
                <w:rFonts w:eastAsia="Calibri" w:cs="Arial"/>
                <w:color w:val="auto"/>
              </w:rPr>
              <w:t>Throughout the design and conduct of the Ass</w:t>
            </w:r>
            <w:r w:rsidR="000573C3" w:rsidRPr="00090673">
              <w:rPr>
                <w:rFonts w:eastAsia="Calibri" w:cs="Arial"/>
                <w:color w:val="auto"/>
              </w:rPr>
              <w:t>ignment</w:t>
            </w:r>
            <w:r w:rsidRPr="00090673">
              <w:rPr>
                <w:rFonts w:eastAsia="Calibri" w:cs="Arial"/>
                <w:color w:val="auto"/>
              </w:rPr>
              <w:t xml:space="preserve">, the </w:t>
            </w:r>
            <w:r w:rsidR="000573C3" w:rsidRPr="00090673">
              <w:rPr>
                <w:rFonts w:eastAsia="Calibri" w:cs="Arial"/>
                <w:color w:val="auto"/>
              </w:rPr>
              <w:t>consultants</w:t>
            </w:r>
            <w:r w:rsidRPr="00090673">
              <w:rPr>
                <w:rFonts w:eastAsia="Calibri" w:cs="Arial"/>
                <w:color w:val="auto"/>
              </w:rPr>
              <w:t xml:space="preserve"> are expected to adhere to Habitat Code of Conduct including the Safeguarding Policy, ensuring that all measures are taken to protect the rights, safety, and welfare of the individuals and communities involved. The consultant/s should guarantee that the analysis is technically accurate and reliable and is conducted in a transparent and impartial manner. All products resulting from this analysis will be owned by Habitat. The consultant/s will not be allowed, without prior authorization in writing, to present any of the results or use any product resulting from the analysis as his or her own or for private publication purposes.</w:t>
            </w:r>
          </w:p>
          <w:p w14:paraId="20DE2996" w14:textId="77777777" w:rsidR="003B0A56" w:rsidRPr="00090673" w:rsidRDefault="003B0A56" w:rsidP="003B0A56">
            <w:pPr>
              <w:jc w:val="both"/>
              <w:rPr>
                <w:rFonts w:eastAsia="Calibri" w:cs="Arial"/>
                <w:color w:val="auto"/>
              </w:rPr>
            </w:pPr>
          </w:p>
          <w:p w14:paraId="05EE2E06" w14:textId="77777777" w:rsidR="003B0A56" w:rsidRPr="00090673" w:rsidRDefault="003B0A56" w:rsidP="003B0A56">
            <w:pPr>
              <w:jc w:val="both"/>
              <w:rPr>
                <w:rFonts w:eastAsia="Calibri" w:cs="Arial"/>
              </w:rPr>
            </w:pPr>
            <w:r w:rsidRPr="00090673">
              <w:rPr>
                <w:rFonts w:eastAsia="Calibri" w:cs="Arial"/>
                <w:color w:val="auto"/>
              </w:rPr>
              <w:t xml:space="preserve">AI can be utilized in the preparation of reports only in specific instances, and its use shall be strictly limited to the generation of graphical and/or visual representations of quantitative data. Any application of AI technology must be accompanied by proper citation and full disclosure </w:t>
            </w:r>
            <w:r w:rsidRPr="00090673">
              <w:rPr>
                <w:rFonts w:eastAsia="Calibri" w:cs="Arial"/>
                <w:color w:val="auto"/>
              </w:rPr>
              <w:lastRenderedPageBreak/>
              <w:t>within the report. Furthermore, to qualify as an original report, the similarity index shall not exceed twenty percent (20%) when compared against published and unpublished works, including the consultant’s own prior work.</w:t>
            </w:r>
          </w:p>
        </w:tc>
      </w:tr>
    </w:tbl>
    <w:p w14:paraId="4588546B" w14:textId="77777777" w:rsidR="007810DE" w:rsidRPr="00090673" w:rsidRDefault="007810DE" w:rsidP="007810DE">
      <w:pPr>
        <w:rPr>
          <w:rFonts w:eastAsia="Calibri" w:cs="Arial"/>
          <w:b/>
          <w:bCs/>
          <w:i/>
        </w:rPr>
      </w:pPr>
    </w:p>
    <w:p w14:paraId="1A1B7014" w14:textId="77777777" w:rsidR="007E1797" w:rsidRPr="00090673" w:rsidRDefault="007E1797" w:rsidP="007E1797">
      <w:pPr>
        <w:rPr>
          <w:rFonts w:eastAsia="Calibri" w:cs="Arial"/>
          <w:lang w:val="en-AU"/>
        </w:rPr>
      </w:pPr>
    </w:p>
    <w:sectPr w:rsidR="007E1797" w:rsidRPr="00090673" w:rsidSect="000335BE">
      <w:headerReference w:type="default" r:id="rId13"/>
      <w:footerReference w:type="default" r:id="rId14"/>
      <w:type w:val="continuous"/>
      <w:pgSz w:w="11907" w:h="16840" w:code="9"/>
      <w:pgMar w:top="1267" w:right="1296" w:bottom="907" w:left="1296" w:header="144" w:footer="401" w:gutter="0"/>
      <w:cols w:space="202"/>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FDF88B4" w14:textId="77777777" w:rsidR="00D96D1E" w:rsidRDefault="00D96D1E">
      <w:r>
        <w:separator/>
      </w:r>
    </w:p>
  </w:endnote>
  <w:endnote w:type="continuationSeparator" w:id="0">
    <w:p w14:paraId="76142BC3" w14:textId="77777777" w:rsidR="00D96D1E" w:rsidRDefault="00D96D1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algun Gothic">
    <w:panose1 w:val="020B0503020000020004"/>
    <w:charset w:val="81"/>
    <w:family w:val="swiss"/>
    <w:pitch w:val="variable"/>
    <w:sig w:usb0="9000002F" w:usb1="29D77CFB" w:usb2="00000012" w:usb3="00000000" w:csb0="0008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00"/>
    <w:family w:val="roman"/>
    <w:pitch w:val="variable"/>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ptos Display">
    <w:charset w:val="00"/>
    <w:family w:val="swiss"/>
    <w:pitch w:val="variable"/>
    <w:sig w:usb0="20000287" w:usb1="00000003" w:usb2="00000000" w:usb3="00000000" w:csb0="0000019F" w:csb1="00000000"/>
  </w:font>
  <w:font w:name="Antique Olive">
    <w:altName w:val="Arial"/>
    <w:panose1 w:val="00000000000000000000"/>
    <w:charset w:val="00"/>
    <w:family w:val="swiss"/>
    <w:notTrueType/>
    <w:pitch w:val="variable"/>
    <w:sig w:usb0="00000003" w:usb1="00000000" w:usb2="00000000" w:usb3="00000000" w:csb0="00000001" w:csb1="00000000"/>
  </w:font>
  <w:font w:name="Angsana New">
    <w:panose1 w:val="02020603050405020304"/>
    <w:charset w:val="DE"/>
    <w:family w:val="roman"/>
    <w:pitch w:val="variable"/>
    <w:sig w:usb0="81000003" w:usb1="00000000" w:usb2="00000000" w:usb3="00000000" w:csb0="00010001"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ordia New">
    <w:panose1 w:val="020B0304020202020204"/>
    <w:charset w:val="DE"/>
    <w:family w:val="swiss"/>
    <w:pitch w:val="variable"/>
    <w:sig w:usb0="81000003" w:usb1="00000000" w:usb2="00000000" w:usb3="00000000" w:csb0="00010001" w:csb1="00000000"/>
  </w:font>
  <w:font w:name="Cambria">
    <w:panose1 w:val="02040503050406030204"/>
    <w:charset w:val="00"/>
    <w:family w:val="roman"/>
    <w:pitch w:val="variable"/>
    <w:sig w:usb0="E00006FF" w:usb1="420024FF" w:usb2="02000000" w:usb3="00000000" w:csb0="0000019F" w:csb1="00000000"/>
  </w:font>
  <w:font w:name="GulimChe">
    <w:charset w:val="81"/>
    <w:family w:val="modern"/>
    <w:pitch w:val="fixed"/>
    <w:sig w:usb0="B00002AF" w:usb1="69D77CFB" w:usb2="00000030" w:usb3="00000000" w:csb0="0008009F" w:csb1="00000000"/>
  </w:font>
  <w:font w:name="Century Gothic">
    <w:panose1 w:val="020B0502020202020204"/>
    <w:charset w:val="00"/>
    <w:family w:val="swiss"/>
    <w:pitch w:val="variable"/>
    <w:sig w:usb0="00000287" w:usb1="00000000" w:usb2="00000000" w:usb3="00000000" w:csb0="000000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1B7A66" w14:textId="77777777" w:rsidR="00C47C14" w:rsidRDefault="00C47C14">
    <w:pPr>
      <w:pStyle w:val="Footer"/>
      <w:jc w:val="right"/>
      <w:rPr>
        <w:color w:val="auto"/>
      </w:rPr>
    </w:pPr>
  </w:p>
  <w:p w14:paraId="6133891F" w14:textId="5F89BEAC" w:rsidR="009203E4" w:rsidRPr="000335BE" w:rsidRDefault="00285817" w:rsidP="000335BE">
    <w:pPr>
      <w:pStyle w:val="Footer"/>
      <w:tabs>
        <w:tab w:val="clear" w:pos="8640"/>
        <w:tab w:val="right" w:pos="8280"/>
      </w:tabs>
      <w:ind w:left="2880" w:firstLine="4320"/>
      <w:jc w:val="center"/>
      <w:rPr>
        <w:color w:val="FFFFFF"/>
      </w:rPr>
    </w:pPr>
    <w:r w:rsidRPr="00C47C14">
      <w:rPr>
        <w:noProof/>
        <w:color w:val="FFFFFF"/>
        <w:lang w:eastAsia="en-US"/>
      </w:rPr>
      <w:drawing>
        <wp:anchor distT="0" distB="0" distL="114300" distR="114300" simplePos="0" relativeHeight="251657728" behindDoc="0" locked="0" layoutInCell="1" allowOverlap="1" wp14:anchorId="7EBD02D1" wp14:editId="2CA20AEC">
          <wp:simplePos x="0" y="0"/>
          <wp:positionH relativeFrom="column">
            <wp:posOffset>-178435</wp:posOffset>
          </wp:positionH>
          <wp:positionV relativeFrom="paragraph">
            <wp:posOffset>2540</wp:posOffset>
          </wp:positionV>
          <wp:extent cx="1554480" cy="182880"/>
          <wp:effectExtent l="0" t="0" r="0" b="0"/>
          <wp:wrapNone/>
          <wp:docPr id="22" name="Picture 2" descr="Description: C:\Documents and Settings\msoh\Local Settings\Temporary Internet Files\Content.Word\HFHLogo_white.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escription: C:\Documents and Settings\msoh\Local Settings\Temporary Internet Files\Content.Word\HFHLogo_white.gif"/>
                  <pic:cNvPicPr>
                    <a:picLocks noChangeAspect="1" noChangeArrowheads="1"/>
                  </pic:cNvPicPr>
                </pic:nvPicPr>
                <pic:blipFill>
                  <a:blip r:embed="rId1">
                    <a:extLst>
                      <a:ext uri="{28A0092B-C50C-407E-A947-70E740481C1C}">
                        <a14:useLocalDpi xmlns:a14="http://schemas.microsoft.com/office/drawing/2010/main" val="0"/>
                      </a:ext>
                    </a:extLst>
                  </a:blip>
                  <a:srcRect t="86902"/>
                  <a:stretch>
                    <a:fillRect/>
                  </a:stretch>
                </pic:blipFill>
                <pic:spPr bwMode="auto">
                  <a:xfrm>
                    <a:off x="0" y="0"/>
                    <a:ext cx="1554480" cy="182880"/>
                  </a:xfrm>
                  <a:prstGeom prst="rect">
                    <a:avLst/>
                  </a:prstGeom>
                  <a:noFill/>
                  <a:ln>
                    <a:noFill/>
                  </a:ln>
                </pic:spPr>
              </pic:pic>
            </a:graphicData>
          </a:graphic>
          <wp14:sizeRelH relativeFrom="page">
            <wp14:pctWidth>0</wp14:pctWidth>
          </wp14:sizeRelH>
          <wp14:sizeRelV relativeFrom="page">
            <wp14:pctHeight>0</wp14:pctHeight>
          </wp14:sizeRelV>
        </wp:anchor>
      </w:drawing>
    </w:r>
    <w:r w:rsidR="00C47C14" w:rsidRPr="00C47C14">
      <w:rPr>
        <w:color w:val="FFFFFF"/>
      </w:rPr>
      <w:t xml:space="preserve">Page </w:t>
    </w:r>
    <w:r w:rsidR="00C47C14" w:rsidRPr="00C47C14">
      <w:rPr>
        <w:b/>
        <w:bCs/>
        <w:color w:val="FFFFFF"/>
        <w:sz w:val="24"/>
        <w:szCs w:val="24"/>
      </w:rPr>
      <w:fldChar w:fldCharType="begin"/>
    </w:r>
    <w:r w:rsidR="00C47C14" w:rsidRPr="00C47C14">
      <w:rPr>
        <w:b/>
        <w:bCs/>
        <w:color w:val="FFFFFF"/>
      </w:rPr>
      <w:instrText xml:space="preserve"> PAGE </w:instrText>
    </w:r>
    <w:r w:rsidR="00C47C14" w:rsidRPr="00C47C14">
      <w:rPr>
        <w:b/>
        <w:bCs/>
        <w:color w:val="FFFFFF"/>
        <w:sz w:val="24"/>
        <w:szCs w:val="24"/>
      </w:rPr>
      <w:fldChar w:fldCharType="separate"/>
    </w:r>
    <w:r w:rsidR="00242C1B">
      <w:rPr>
        <w:b/>
        <w:bCs/>
        <w:noProof/>
        <w:color w:val="FFFFFF"/>
      </w:rPr>
      <w:t>2</w:t>
    </w:r>
    <w:r w:rsidR="00C47C14" w:rsidRPr="00C47C14">
      <w:rPr>
        <w:b/>
        <w:bCs/>
        <w:color w:val="FFFFFF"/>
        <w:sz w:val="24"/>
        <w:szCs w:val="24"/>
      </w:rPr>
      <w:fldChar w:fldCharType="end"/>
    </w:r>
    <w:r w:rsidR="00C47C14" w:rsidRPr="00C47C14">
      <w:rPr>
        <w:color w:val="FFFFFF"/>
      </w:rPr>
      <w:t xml:space="preserve"> of </w:t>
    </w:r>
    <w:r w:rsidR="00C47C14" w:rsidRPr="00C47C14">
      <w:rPr>
        <w:b/>
        <w:bCs/>
        <w:color w:val="FFFFFF"/>
        <w:sz w:val="24"/>
        <w:szCs w:val="24"/>
      </w:rPr>
      <w:fldChar w:fldCharType="begin"/>
    </w:r>
    <w:r w:rsidR="00C47C14" w:rsidRPr="00C47C14">
      <w:rPr>
        <w:b/>
        <w:bCs/>
        <w:color w:val="FFFFFF"/>
      </w:rPr>
      <w:instrText xml:space="preserve"> NUMPAGES  </w:instrText>
    </w:r>
    <w:r w:rsidR="00C47C14" w:rsidRPr="00C47C14">
      <w:rPr>
        <w:b/>
        <w:bCs/>
        <w:color w:val="FFFFFF"/>
        <w:sz w:val="24"/>
        <w:szCs w:val="24"/>
      </w:rPr>
      <w:fldChar w:fldCharType="separate"/>
    </w:r>
    <w:r w:rsidR="00242C1B">
      <w:rPr>
        <w:b/>
        <w:bCs/>
        <w:noProof/>
        <w:color w:val="FFFFFF"/>
      </w:rPr>
      <w:t>6</w:t>
    </w:r>
    <w:r w:rsidR="00C47C14" w:rsidRPr="00C47C14">
      <w:rPr>
        <w:b/>
        <w:bCs/>
        <w:color w:val="FFFFFF"/>
        <w:sz w:val="24"/>
        <w:szCs w:val="24"/>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9931E9B" w14:textId="77777777" w:rsidR="00D96D1E" w:rsidRDefault="00D96D1E">
      <w:r>
        <w:separator/>
      </w:r>
    </w:p>
  </w:footnote>
  <w:footnote w:type="continuationSeparator" w:id="0">
    <w:p w14:paraId="274404AA" w14:textId="77777777" w:rsidR="00D96D1E" w:rsidRDefault="00D96D1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AF4E67" w14:textId="77777777" w:rsidR="00882495" w:rsidRPr="004A3959" w:rsidRDefault="00882495" w:rsidP="00882495">
    <w:pPr>
      <w:jc w:val="right"/>
      <w:rPr>
        <w:b/>
        <w:i/>
        <w:color w:val="FFFFFF"/>
      </w:rPr>
    </w:pPr>
    <w:r>
      <w:rPr>
        <w:b/>
        <w:i/>
        <w:color w:val="FFFFFF"/>
      </w:rPr>
      <w:t>Where to Find National Offices</w:t>
    </w:r>
  </w:p>
  <w:p w14:paraId="2D5FA5A1" w14:textId="77777777" w:rsidR="009203E4" w:rsidRPr="00123648" w:rsidRDefault="009203E4" w:rsidP="007768F6">
    <w:pPr>
      <w:jc w:val="center"/>
      <w:rPr>
        <w:rFonts w:ascii="Century Gothic" w:hAnsi="Century Gothic" w:cs="Arial"/>
        <w:b/>
        <w:bCs/>
        <w:color w:val="6DB340"/>
        <w:sz w:val="16"/>
        <w:szCs w:val="16"/>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9A6020"/>
    <w:multiLevelType w:val="hybridMultilevel"/>
    <w:tmpl w:val="02FCCA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FD204D"/>
    <w:multiLevelType w:val="multilevel"/>
    <w:tmpl w:val="A5E60B72"/>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18523E2A"/>
    <w:multiLevelType w:val="multilevel"/>
    <w:tmpl w:val="24066F9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E522B8"/>
    <w:multiLevelType w:val="hybridMultilevel"/>
    <w:tmpl w:val="5894C2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BD6792A"/>
    <w:multiLevelType w:val="hybridMultilevel"/>
    <w:tmpl w:val="7B0E6154"/>
    <w:lvl w:ilvl="0" w:tplc="2C90E8A2">
      <w:start w:val="1"/>
      <w:numFmt w:val="upperRoman"/>
      <w:lvlText w:val="%1."/>
      <w:lvlJc w:val="left"/>
      <w:pPr>
        <w:ind w:left="1080" w:hanging="720"/>
      </w:pPr>
      <w:rPr>
        <w:rFonts w:hint="default"/>
        <w:sz w:val="22"/>
        <w:szCs w:val="22"/>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2E151B99"/>
    <w:multiLevelType w:val="multilevel"/>
    <w:tmpl w:val="DE46D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31E434B9"/>
    <w:multiLevelType w:val="multilevel"/>
    <w:tmpl w:val="C8248F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3C460E75"/>
    <w:multiLevelType w:val="hybridMultilevel"/>
    <w:tmpl w:val="AC98F7D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3F334DFF"/>
    <w:multiLevelType w:val="hybridMultilevel"/>
    <w:tmpl w:val="FAAAE3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404C6C86"/>
    <w:multiLevelType w:val="hybridMultilevel"/>
    <w:tmpl w:val="782EFE9A"/>
    <w:lvl w:ilvl="0" w:tplc="0409000B">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40F946C8"/>
    <w:multiLevelType w:val="hybridMultilevel"/>
    <w:tmpl w:val="88AE1AE4"/>
    <w:lvl w:ilvl="0" w:tplc="FFFFFFFF">
      <w:start w:val="1"/>
      <w:numFmt w:val="decimal"/>
      <w:lvlText w:val="%1."/>
      <w:lvlJc w:val="left"/>
      <w:pPr>
        <w:ind w:left="360" w:hanging="360"/>
      </w:pPr>
      <w:rPr>
        <w:rFonts w:hint="default"/>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1" w15:restartNumberingAfterBreak="0">
    <w:nsid w:val="433D461D"/>
    <w:multiLevelType w:val="multilevel"/>
    <w:tmpl w:val="2BFCE55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45B213C6"/>
    <w:multiLevelType w:val="hybridMultilevel"/>
    <w:tmpl w:val="990A7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0226836"/>
    <w:multiLevelType w:val="hybridMultilevel"/>
    <w:tmpl w:val="AC1AE12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15F6441"/>
    <w:multiLevelType w:val="hybridMultilevel"/>
    <w:tmpl w:val="9C94528C"/>
    <w:lvl w:ilvl="0" w:tplc="0409001B">
      <w:start w:val="1"/>
      <w:numFmt w:val="lowerRoman"/>
      <w:lvlText w:val="%1."/>
      <w:lvlJc w:val="right"/>
      <w:pPr>
        <w:ind w:left="1440" w:hanging="360"/>
      </w:pPr>
      <w:rPr>
        <w:rFonts w:hint="default"/>
      </w:rPr>
    </w:lvl>
    <w:lvl w:ilvl="1" w:tplc="04090019">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5" w15:restartNumberingAfterBreak="0">
    <w:nsid w:val="53744C85"/>
    <w:multiLevelType w:val="hybridMultilevel"/>
    <w:tmpl w:val="FBB2928A"/>
    <w:lvl w:ilvl="0" w:tplc="04090001">
      <w:start w:val="1"/>
      <w:numFmt w:val="bullet"/>
      <w:lvlText w:val=""/>
      <w:lvlJc w:val="left"/>
      <w:pPr>
        <w:ind w:left="720"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544F1E7D"/>
    <w:multiLevelType w:val="hybridMultilevel"/>
    <w:tmpl w:val="9C82BBAC"/>
    <w:lvl w:ilvl="0" w:tplc="0409001B">
      <w:start w:val="1"/>
      <w:numFmt w:val="lowerRoman"/>
      <w:lvlText w:val="%1."/>
      <w:lvlJc w:val="right"/>
      <w:pPr>
        <w:ind w:left="108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7" w15:restartNumberingAfterBreak="0">
    <w:nsid w:val="5C3D541F"/>
    <w:multiLevelType w:val="hybridMultilevel"/>
    <w:tmpl w:val="F026693A"/>
    <w:lvl w:ilvl="0" w:tplc="53EA8D50">
      <w:start w:val="1"/>
      <w:numFmt w:val="lowerRoman"/>
      <w:lvlText w:val="%1."/>
      <w:lvlJc w:val="left"/>
      <w:pPr>
        <w:ind w:left="81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8030DD5"/>
    <w:multiLevelType w:val="hybridMultilevel"/>
    <w:tmpl w:val="B9906AF8"/>
    <w:lvl w:ilvl="0" w:tplc="04090003">
      <w:start w:val="1"/>
      <w:numFmt w:val="bullet"/>
      <w:lvlText w:val="o"/>
      <w:lvlJc w:val="left"/>
      <w:pPr>
        <w:ind w:left="720" w:hanging="360"/>
      </w:pPr>
      <w:rPr>
        <w:rFonts w:ascii="Courier New" w:hAnsi="Courier New" w:cs="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6FAF58FB"/>
    <w:multiLevelType w:val="hybridMultilevel"/>
    <w:tmpl w:val="1586128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8F0D01"/>
    <w:multiLevelType w:val="hybridMultilevel"/>
    <w:tmpl w:val="24A2E63E"/>
    <w:lvl w:ilvl="0" w:tplc="04090015">
      <w:start w:val="1"/>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B8160B9"/>
    <w:multiLevelType w:val="hybridMultilevel"/>
    <w:tmpl w:val="A96E6C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68995041">
    <w:abstractNumId w:val="4"/>
  </w:num>
  <w:num w:numId="2" w16cid:durableId="1903368021">
    <w:abstractNumId w:val="17"/>
  </w:num>
  <w:num w:numId="3" w16cid:durableId="1474367880">
    <w:abstractNumId w:val="15"/>
  </w:num>
  <w:num w:numId="4" w16cid:durableId="1138839715">
    <w:abstractNumId w:val="7"/>
  </w:num>
  <w:num w:numId="5" w16cid:durableId="892355386">
    <w:abstractNumId w:val="12"/>
  </w:num>
  <w:num w:numId="6" w16cid:durableId="1498155503">
    <w:abstractNumId w:val="19"/>
  </w:num>
  <w:num w:numId="7" w16cid:durableId="1692612094">
    <w:abstractNumId w:val="0"/>
  </w:num>
  <w:num w:numId="8" w16cid:durableId="48194869">
    <w:abstractNumId w:val="18"/>
  </w:num>
  <w:num w:numId="9" w16cid:durableId="846597872">
    <w:abstractNumId w:val="9"/>
  </w:num>
  <w:num w:numId="10" w16cid:durableId="565720416">
    <w:abstractNumId w:val="10"/>
  </w:num>
  <w:num w:numId="11" w16cid:durableId="1024088615">
    <w:abstractNumId w:val="14"/>
  </w:num>
  <w:num w:numId="12" w16cid:durableId="1021712064">
    <w:abstractNumId w:val="21"/>
  </w:num>
  <w:num w:numId="13" w16cid:durableId="1330450189">
    <w:abstractNumId w:val="3"/>
  </w:num>
  <w:num w:numId="14" w16cid:durableId="59057807">
    <w:abstractNumId w:val="2"/>
  </w:num>
  <w:num w:numId="15" w16cid:durableId="334185971">
    <w:abstractNumId w:val="8"/>
  </w:num>
  <w:num w:numId="16" w16cid:durableId="1501892761">
    <w:abstractNumId w:val="5"/>
  </w:num>
  <w:num w:numId="17" w16cid:durableId="520556946">
    <w:abstractNumId w:val="16"/>
  </w:num>
  <w:num w:numId="18" w16cid:durableId="99031184">
    <w:abstractNumId w:val="20"/>
  </w:num>
  <w:num w:numId="19" w16cid:durableId="780994742">
    <w:abstractNumId w:val="1"/>
  </w:num>
  <w:num w:numId="20" w16cid:durableId="1583024850">
    <w:abstractNumId w:val="6"/>
  </w:num>
  <w:num w:numId="21" w16cid:durableId="1924535191">
    <w:abstractNumId w:val="11"/>
  </w:num>
  <w:num w:numId="22" w16cid:durableId="1896235380">
    <w:abstractNumId w:val="13"/>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0"/>
  <w:defaultTabStop w:val="720"/>
  <w:characterSpacingControl w:val="doNotCompress"/>
  <w:hdrShapeDefaults>
    <o:shapedefaults v:ext="edit" spidmax="2050" fillcolor="#6db340">
      <v:fill color="#6db340"/>
      <o:colormru v:ext="edit" colors="#6db340"/>
    </o:shapedefaults>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E5446"/>
    <w:rsid w:val="000023F1"/>
    <w:rsid w:val="00006D54"/>
    <w:rsid w:val="0000778D"/>
    <w:rsid w:val="00012172"/>
    <w:rsid w:val="00012574"/>
    <w:rsid w:val="00012AFE"/>
    <w:rsid w:val="00013619"/>
    <w:rsid w:val="00013F1B"/>
    <w:rsid w:val="0001634B"/>
    <w:rsid w:val="000168E2"/>
    <w:rsid w:val="00016A6D"/>
    <w:rsid w:val="00022684"/>
    <w:rsid w:val="00022F34"/>
    <w:rsid w:val="000307DE"/>
    <w:rsid w:val="00030B85"/>
    <w:rsid w:val="000322C0"/>
    <w:rsid w:val="000331C8"/>
    <w:rsid w:val="000335BE"/>
    <w:rsid w:val="00034627"/>
    <w:rsid w:val="00034979"/>
    <w:rsid w:val="000418DD"/>
    <w:rsid w:val="00041D7F"/>
    <w:rsid w:val="000423A4"/>
    <w:rsid w:val="0004332C"/>
    <w:rsid w:val="000445F5"/>
    <w:rsid w:val="00045A8C"/>
    <w:rsid w:val="00047596"/>
    <w:rsid w:val="000506AD"/>
    <w:rsid w:val="000509E5"/>
    <w:rsid w:val="000514A7"/>
    <w:rsid w:val="0005157F"/>
    <w:rsid w:val="00053255"/>
    <w:rsid w:val="0005455E"/>
    <w:rsid w:val="00055BA8"/>
    <w:rsid w:val="000573C3"/>
    <w:rsid w:val="00061E5F"/>
    <w:rsid w:val="00063353"/>
    <w:rsid w:val="0006384F"/>
    <w:rsid w:val="000639B1"/>
    <w:rsid w:val="0006423A"/>
    <w:rsid w:val="0006443C"/>
    <w:rsid w:val="000652BB"/>
    <w:rsid w:val="00065B67"/>
    <w:rsid w:val="0006646F"/>
    <w:rsid w:val="0006777A"/>
    <w:rsid w:val="00070442"/>
    <w:rsid w:val="00072EAD"/>
    <w:rsid w:val="000776C3"/>
    <w:rsid w:val="000803EF"/>
    <w:rsid w:val="00080B21"/>
    <w:rsid w:val="000847F6"/>
    <w:rsid w:val="00085F89"/>
    <w:rsid w:val="00087448"/>
    <w:rsid w:val="00090673"/>
    <w:rsid w:val="00092F6C"/>
    <w:rsid w:val="000938AE"/>
    <w:rsid w:val="00096198"/>
    <w:rsid w:val="000A00D9"/>
    <w:rsid w:val="000B0D8E"/>
    <w:rsid w:val="000B1EBA"/>
    <w:rsid w:val="000B255B"/>
    <w:rsid w:val="000B4DCC"/>
    <w:rsid w:val="000B6D47"/>
    <w:rsid w:val="000B7428"/>
    <w:rsid w:val="000C28F2"/>
    <w:rsid w:val="000C58DF"/>
    <w:rsid w:val="000C67A2"/>
    <w:rsid w:val="000C6C25"/>
    <w:rsid w:val="000D08C0"/>
    <w:rsid w:val="000D1E7B"/>
    <w:rsid w:val="000D21B0"/>
    <w:rsid w:val="000D2605"/>
    <w:rsid w:val="000D2712"/>
    <w:rsid w:val="000D3203"/>
    <w:rsid w:val="000D3879"/>
    <w:rsid w:val="000D42E6"/>
    <w:rsid w:val="000D62CC"/>
    <w:rsid w:val="000D6B09"/>
    <w:rsid w:val="000D7DAE"/>
    <w:rsid w:val="000E0EEC"/>
    <w:rsid w:val="000E1452"/>
    <w:rsid w:val="000E3015"/>
    <w:rsid w:val="000E6004"/>
    <w:rsid w:val="000E7100"/>
    <w:rsid w:val="000F46FB"/>
    <w:rsid w:val="000F4CAC"/>
    <w:rsid w:val="000F68C2"/>
    <w:rsid w:val="00110171"/>
    <w:rsid w:val="001137CC"/>
    <w:rsid w:val="001142E5"/>
    <w:rsid w:val="00114861"/>
    <w:rsid w:val="00115357"/>
    <w:rsid w:val="00115A85"/>
    <w:rsid w:val="001166FE"/>
    <w:rsid w:val="00116F96"/>
    <w:rsid w:val="00123648"/>
    <w:rsid w:val="0012592B"/>
    <w:rsid w:val="0012597A"/>
    <w:rsid w:val="001273F5"/>
    <w:rsid w:val="001343DA"/>
    <w:rsid w:val="001354B1"/>
    <w:rsid w:val="0013675B"/>
    <w:rsid w:val="00137854"/>
    <w:rsid w:val="00137BCA"/>
    <w:rsid w:val="00143BBB"/>
    <w:rsid w:val="0014692C"/>
    <w:rsid w:val="00153CC6"/>
    <w:rsid w:val="0015528D"/>
    <w:rsid w:val="001605A3"/>
    <w:rsid w:val="00161F83"/>
    <w:rsid w:val="00163F26"/>
    <w:rsid w:val="00163F84"/>
    <w:rsid w:val="0016529A"/>
    <w:rsid w:val="001653F1"/>
    <w:rsid w:val="00166379"/>
    <w:rsid w:val="00166DF1"/>
    <w:rsid w:val="00166FA3"/>
    <w:rsid w:val="0017150D"/>
    <w:rsid w:val="00172892"/>
    <w:rsid w:val="001747F2"/>
    <w:rsid w:val="001770F3"/>
    <w:rsid w:val="001772D4"/>
    <w:rsid w:val="001831DC"/>
    <w:rsid w:val="0018325F"/>
    <w:rsid w:val="001851BF"/>
    <w:rsid w:val="00185DB8"/>
    <w:rsid w:val="00190342"/>
    <w:rsid w:val="0019038D"/>
    <w:rsid w:val="001907B1"/>
    <w:rsid w:val="001915CF"/>
    <w:rsid w:val="00191A16"/>
    <w:rsid w:val="001933FD"/>
    <w:rsid w:val="00193ECF"/>
    <w:rsid w:val="001947A3"/>
    <w:rsid w:val="001977EB"/>
    <w:rsid w:val="001A1D13"/>
    <w:rsid w:val="001A620D"/>
    <w:rsid w:val="001A664D"/>
    <w:rsid w:val="001A6AD9"/>
    <w:rsid w:val="001A7014"/>
    <w:rsid w:val="001B1E84"/>
    <w:rsid w:val="001B32EE"/>
    <w:rsid w:val="001B338E"/>
    <w:rsid w:val="001B3CBE"/>
    <w:rsid w:val="001B6AEA"/>
    <w:rsid w:val="001B6C5E"/>
    <w:rsid w:val="001C11B7"/>
    <w:rsid w:val="001C2703"/>
    <w:rsid w:val="001C7801"/>
    <w:rsid w:val="001D17AA"/>
    <w:rsid w:val="001D1A2B"/>
    <w:rsid w:val="001D3534"/>
    <w:rsid w:val="001D3E8B"/>
    <w:rsid w:val="001D597A"/>
    <w:rsid w:val="001D65CD"/>
    <w:rsid w:val="001D7743"/>
    <w:rsid w:val="001E1901"/>
    <w:rsid w:val="001E1DFE"/>
    <w:rsid w:val="001E3F7F"/>
    <w:rsid w:val="001E5564"/>
    <w:rsid w:val="001E7C2D"/>
    <w:rsid w:val="001F14D3"/>
    <w:rsid w:val="001F3126"/>
    <w:rsid w:val="001F4E71"/>
    <w:rsid w:val="001F61D9"/>
    <w:rsid w:val="001F7395"/>
    <w:rsid w:val="001F7C14"/>
    <w:rsid w:val="00203EE9"/>
    <w:rsid w:val="00206126"/>
    <w:rsid w:val="00207854"/>
    <w:rsid w:val="00210ACB"/>
    <w:rsid w:val="002111A9"/>
    <w:rsid w:val="00214401"/>
    <w:rsid w:val="00215F3D"/>
    <w:rsid w:val="002208B9"/>
    <w:rsid w:val="0022356C"/>
    <w:rsid w:val="00224044"/>
    <w:rsid w:val="002250B2"/>
    <w:rsid w:val="002263F5"/>
    <w:rsid w:val="002272DF"/>
    <w:rsid w:val="00230028"/>
    <w:rsid w:val="00231596"/>
    <w:rsid w:val="002316D5"/>
    <w:rsid w:val="002322FB"/>
    <w:rsid w:val="00232551"/>
    <w:rsid w:val="002327BD"/>
    <w:rsid w:val="00236018"/>
    <w:rsid w:val="00241B4A"/>
    <w:rsid w:val="00242C1B"/>
    <w:rsid w:val="002504CD"/>
    <w:rsid w:val="00251C55"/>
    <w:rsid w:val="00253277"/>
    <w:rsid w:val="002534E6"/>
    <w:rsid w:val="00257639"/>
    <w:rsid w:val="00265C09"/>
    <w:rsid w:val="00270761"/>
    <w:rsid w:val="00271C6C"/>
    <w:rsid w:val="00272403"/>
    <w:rsid w:val="00274028"/>
    <w:rsid w:val="00276632"/>
    <w:rsid w:val="00280EB7"/>
    <w:rsid w:val="00281791"/>
    <w:rsid w:val="00285817"/>
    <w:rsid w:val="002867C9"/>
    <w:rsid w:val="00286F5F"/>
    <w:rsid w:val="00291A12"/>
    <w:rsid w:val="002955C8"/>
    <w:rsid w:val="002959EB"/>
    <w:rsid w:val="0029739E"/>
    <w:rsid w:val="002A0758"/>
    <w:rsid w:val="002A195C"/>
    <w:rsid w:val="002A4254"/>
    <w:rsid w:val="002A4669"/>
    <w:rsid w:val="002A524D"/>
    <w:rsid w:val="002A5D20"/>
    <w:rsid w:val="002A6D86"/>
    <w:rsid w:val="002B4F25"/>
    <w:rsid w:val="002B558C"/>
    <w:rsid w:val="002B5822"/>
    <w:rsid w:val="002B7D59"/>
    <w:rsid w:val="002C0BAB"/>
    <w:rsid w:val="002C0F93"/>
    <w:rsid w:val="002C1303"/>
    <w:rsid w:val="002C4323"/>
    <w:rsid w:val="002C5C78"/>
    <w:rsid w:val="002C6181"/>
    <w:rsid w:val="002D1116"/>
    <w:rsid w:val="002D47C9"/>
    <w:rsid w:val="002D5079"/>
    <w:rsid w:val="002D6052"/>
    <w:rsid w:val="002D6F62"/>
    <w:rsid w:val="002D701C"/>
    <w:rsid w:val="002E1742"/>
    <w:rsid w:val="002E599D"/>
    <w:rsid w:val="002F045E"/>
    <w:rsid w:val="002F21F1"/>
    <w:rsid w:val="002F672D"/>
    <w:rsid w:val="002F7458"/>
    <w:rsid w:val="00300EEC"/>
    <w:rsid w:val="0030327F"/>
    <w:rsid w:val="003045A8"/>
    <w:rsid w:val="00304CB3"/>
    <w:rsid w:val="00310269"/>
    <w:rsid w:val="00311299"/>
    <w:rsid w:val="00313CA1"/>
    <w:rsid w:val="00314CEF"/>
    <w:rsid w:val="00315E83"/>
    <w:rsid w:val="00316022"/>
    <w:rsid w:val="00317926"/>
    <w:rsid w:val="00320893"/>
    <w:rsid w:val="0032130D"/>
    <w:rsid w:val="003221C6"/>
    <w:rsid w:val="00322D27"/>
    <w:rsid w:val="00324879"/>
    <w:rsid w:val="00327946"/>
    <w:rsid w:val="00331194"/>
    <w:rsid w:val="00333121"/>
    <w:rsid w:val="003348F4"/>
    <w:rsid w:val="00334B9B"/>
    <w:rsid w:val="00335462"/>
    <w:rsid w:val="0033629B"/>
    <w:rsid w:val="00337B43"/>
    <w:rsid w:val="00340844"/>
    <w:rsid w:val="00341DB6"/>
    <w:rsid w:val="003420CC"/>
    <w:rsid w:val="00344C3A"/>
    <w:rsid w:val="003462C6"/>
    <w:rsid w:val="00351CB3"/>
    <w:rsid w:val="0035405F"/>
    <w:rsid w:val="003545E4"/>
    <w:rsid w:val="0035577D"/>
    <w:rsid w:val="0036145A"/>
    <w:rsid w:val="003618DB"/>
    <w:rsid w:val="00361AC2"/>
    <w:rsid w:val="00364020"/>
    <w:rsid w:val="003644AE"/>
    <w:rsid w:val="00367F64"/>
    <w:rsid w:val="00370846"/>
    <w:rsid w:val="00370E77"/>
    <w:rsid w:val="00372163"/>
    <w:rsid w:val="003726E9"/>
    <w:rsid w:val="00372938"/>
    <w:rsid w:val="00373B82"/>
    <w:rsid w:val="003768B4"/>
    <w:rsid w:val="00376FC2"/>
    <w:rsid w:val="00381D67"/>
    <w:rsid w:val="0038258B"/>
    <w:rsid w:val="0038335D"/>
    <w:rsid w:val="00384A4C"/>
    <w:rsid w:val="00384B6B"/>
    <w:rsid w:val="003860D3"/>
    <w:rsid w:val="003869A8"/>
    <w:rsid w:val="00387810"/>
    <w:rsid w:val="00390504"/>
    <w:rsid w:val="00390762"/>
    <w:rsid w:val="003907BB"/>
    <w:rsid w:val="00390FF5"/>
    <w:rsid w:val="0039109D"/>
    <w:rsid w:val="0039218E"/>
    <w:rsid w:val="00392DC4"/>
    <w:rsid w:val="00395D13"/>
    <w:rsid w:val="00395DC9"/>
    <w:rsid w:val="003A1695"/>
    <w:rsid w:val="003A1966"/>
    <w:rsid w:val="003A24B8"/>
    <w:rsid w:val="003A365A"/>
    <w:rsid w:val="003A3B23"/>
    <w:rsid w:val="003A3B96"/>
    <w:rsid w:val="003A70F7"/>
    <w:rsid w:val="003B0A56"/>
    <w:rsid w:val="003B1907"/>
    <w:rsid w:val="003B532E"/>
    <w:rsid w:val="003B6762"/>
    <w:rsid w:val="003B6D45"/>
    <w:rsid w:val="003B7474"/>
    <w:rsid w:val="003B7F36"/>
    <w:rsid w:val="003C2C6D"/>
    <w:rsid w:val="003C5B93"/>
    <w:rsid w:val="003C7F28"/>
    <w:rsid w:val="003D03D4"/>
    <w:rsid w:val="003D0520"/>
    <w:rsid w:val="003D0D8E"/>
    <w:rsid w:val="003D3C4F"/>
    <w:rsid w:val="003D4234"/>
    <w:rsid w:val="003D5057"/>
    <w:rsid w:val="003D68D8"/>
    <w:rsid w:val="003E1341"/>
    <w:rsid w:val="003E3795"/>
    <w:rsid w:val="003E5446"/>
    <w:rsid w:val="003F034D"/>
    <w:rsid w:val="003F4AFB"/>
    <w:rsid w:val="003F69C6"/>
    <w:rsid w:val="003F6F57"/>
    <w:rsid w:val="0040023E"/>
    <w:rsid w:val="00400A47"/>
    <w:rsid w:val="00401019"/>
    <w:rsid w:val="004040CE"/>
    <w:rsid w:val="00404137"/>
    <w:rsid w:val="00407B92"/>
    <w:rsid w:val="00410C5D"/>
    <w:rsid w:val="00411374"/>
    <w:rsid w:val="00412060"/>
    <w:rsid w:val="00412688"/>
    <w:rsid w:val="00412744"/>
    <w:rsid w:val="00412F7D"/>
    <w:rsid w:val="004201C0"/>
    <w:rsid w:val="00421F45"/>
    <w:rsid w:val="00423C55"/>
    <w:rsid w:val="00425084"/>
    <w:rsid w:val="00425EA4"/>
    <w:rsid w:val="00426255"/>
    <w:rsid w:val="00427F3F"/>
    <w:rsid w:val="00431528"/>
    <w:rsid w:val="00431EEC"/>
    <w:rsid w:val="004322D5"/>
    <w:rsid w:val="0043230A"/>
    <w:rsid w:val="00432E8F"/>
    <w:rsid w:val="00434D70"/>
    <w:rsid w:val="00435060"/>
    <w:rsid w:val="00435C3D"/>
    <w:rsid w:val="0043617A"/>
    <w:rsid w:val="00436ABB"/>
    <w:rsid w:val="00436ACE"/>
    <w:rsid w:val="00436FFE"/>
    <w:rsid w:val="0044003E"/>
    <w:rsid w:val="004421A9"/>
    <w:rsid w:val="00442248"/>
    <w:rsid w:val="00442DB3"/>
    <w:rsid w:val="00443182"/>
    <w:rsid w:val="00443F64"/>
    <w:rsid w:val="00444062"/>
    <w:rsid w:val="00444980"/>
    <w:rsid w:val="00445DE5"/>
    <w:rsid w:val="00446CFB"/>
    <w:rsid w:val="00447297"/>
    <w:rsid w:val="00451E03"/>
    <w:rsid w:val="00452FB9"/>
    <w:rsid w:val="004530F5"/>
    <w:rsid w:val="00453333"/>
    <w:rsid w:val="004535BF"/>
    <w:rsid w:val="004536EB"/>
    <w:rsid w:val="00453C1C"/>
    <w:rsid w:val="004603B8"/>
    <w:rsid w:val="0046454B"/>
    <w:rsid w:val="00471E1F"/>
    <w:rsid w:val="004727D7"/>
    <w:rsid w:val="0047400F"/>
    <w:rsid w:val="00477AF4"/>
    <w:rsid w:val="00477F46"/>
    <w:rsid w:val="004805E6"/>
    <w:rsid w:val="004820FD"/>
    <w:rsid w:val="00483D48"/>
    <w:rsid w:val="0048420D"/>
    <w:rsid w:val="00484388"/>
    <w:rsid w:val="004852E8"/>
    <w:rsid w:val="00485353"/>
    <w:rsid w:val="00485581"/>
    <w:rsid w:val="00492BDC"/>
    <w:rsid w:val="004945FD"/>
    <w:rsid w:val="00494790"/>
    <w:rsid w:val="00495907"/>
    <w:rsid w:val="00495A00"/>
    <w:rsid w:val="0049769E"/>
    <w:rsid w:val="004A575F"/>
    <w:rsid w:val="004A74DE"/>
    <w:rsid w:val="004A7A27"/>
    <w:rsid w:val="004B15DB"/>
    <w:rsid w:val="004B172A"/>
    <w:rsid w:val="004B2CB3"/>
    <w:rsid w:val="004B4DBD"/>
    <w:rsid w:val="004B6F5C"/>
    <w:rsid w:val="004B6FDB"/>
    <w:rsid w:val="004C04F9"/>
    <w:rsid w:val="004C05E8"/>
    <w:rsid w:val="004C2177"/>
    <w:rsid w:val="004C273D"/>
    <w:rsid w:val="004C5959"/>
    <w:rsid w:val="004C73AF"/>
    <w:rsid w:val="004D0948"/>
    <w:rsid w:val="004D0B5D"/>
    <w:rsid w:val="004D24FF"/>
    <w:rsid w:val="004D3355"/>
    <w:rsid w:val="004D3DE5"/>
    <w:rsid w:val="004E00E1"/>
    <w:rsid w:val="004E028D"/>
    <w:rsid w:val="004E09CF"/>
    <w:rsid w:val="004E09FC"/>
    <w:rsid w:val="004E1CF9"/>
    <w:rsid w:val="004E2E4E"/>
    <w:rsid w:val="004E48B4"/>
    <w:rsid w:val="004F2044"/>
    <w:rsid w:val="004F2069"/>
    <w:rsid w:val="004F231F"/>
    <w:rsid w:val="004F4203"/>
    <w:rsid w:val="004F507E"/>
    <w:rsid w:val="005050D2"/>
    <w:rsid w:val="005050F9"/>
    <w:rsid w:val="00505A32"/>
    <w:rsid w:val="005065BC"/>
    <w:rsid w:val="005103E2"/>
    <w:rsid w:val="0051123D"/>
    <w:rsid w:val="00511B81"/>
    <w:rsid w:val="005145AC"/>
    <w:rsid w:val="00515F39"/>
    <w:rsid w:val="00516E11"/>
    <w:rsid w:val="005174FF"/>
    <w:rsid w:val="0052197D"/>
    <w:rsid w:val="0052373D"/>
    <w:rsid w:val="005246D8"/>
    <w:rsid w:val="005246EB"/>
    <w:rsid w:val="00525E8C"/>
    <w:rsid w:val="00526DF8"/>
    <w:rsid w:val="00531787"/>
    <w:rsid w:val="005333E7"/>
    <w:rsid w:val="00536954"/>
    <w:rsid w:val="00541793"/>
    <w:rsid w:val="00541CE9"/>
    <w:rsid w:val="00543086"/>
    <w:rsid w:val="00543F5A"/>
    <w:rsid w:val="00545866"/>
    <w:rsid w:val="005477D1"/>
    <w:rsid w:val="00547C7F"/>
    <w:rsid w:val="0055122C"/>
    <w:rsid w:val="00552053"/>
    <w:rsid w:val="00553270"/>
    <w:rsid w:val="00553C69"/>
    <w:rsid w:val="00555F8B"/>
    <w:rsid w:val="00560697"/>
    <w:rsid w:val="00561CBE"/>
    <w:rsid w:val="00561D81"/>
    <w:rsid w:val="005622DD"/>
    <w:rsid w:val="00563177"/>
    <w:rsid w:val="00563735"/>
    <w:rsid w:val="005652A9"/>
    <w:rsid w:val="0056590D"/>
    <w:rsid w:val="0056679B"/>
    <w:rsid w:val="005701E6"/>
    <w:rsid w:val="00571D76"/>
    <w:rsid w:val="005721D4"/>
    <w:rsid w:val="00572909"/>
    <w:rsid w:val="00574230"/>
    <w:rsid w:val="00575325"/>
    <w:rsid w:val="00577298"/>
    <w:rsid w:val="00577E9D"/>
    <w:rsid w:val="00581E47"/>
    <w:rsid w:val="0058365F"/>
    <w:rsid w:val="00584435"/>
    <w:rsid w:val="0058480E"/>
    <w:rsid w:val="005929B7"/>
    <w:rsid w:val="0059320A"/>
    <w:rsid w:val="00593484"/>
    <w:rsid w:val="00597D49"/>
    <w:rsid w:val="00597F1F"/>
    <w:rsid w:val="005A2393"/>
    <w:rsid w:val="005A3791"/>
    <w:rsid w:val="005A38C9"/>
    <w:rsid w:val="005A433D"/>
    <w:rsid w:val="005A578E"/>
    <w:rsid w:val="005A7889"/>
    <w:rsid w:val="005A7BEB"/>
    <w:rsid w:val="005B1119"/>
    <w:rsid w:val="005B13DB"/>
    <w:rsid w:val="005B3662"/>
    <w:rsid w:val="005B5260"/>
    <w:rsid w:val="005B5C60"/>
    <w:rsid w:val="005B61F4"/>
    <w:rsid w:val="005B6588"/>
    <w:rsid w:val="005C07E2"/>
    <w:rsid w:val="005C24E9"/>
    <w:rsid w:val="005C5C3D"/>
    <w:rsid w:val="005C7251"/>
    <w:rsid w:val="005C7AF9"/>
    <w:rsid w:val="005D07B5"/>
    <w:rsid w:val="005D1AB5"/>
    <w:rsid w:val="005D2A86"/>
    <w:rsid w:val="005D4997"/>
    <w:rsid w:val="005D4A95"/>
    <w:rsid w:val="005D5233"/>
    <w:rsid w:val="005D6124"/>
    <w:rsid w:val="005D64F6"/>
    <w:rsid w:val="005D7F7E"/>
    <w:rsid w:val="005E0C3D"/>
    <w:rsid w:val="005E1339"/>
    <w:rsid w:val="005E56C9"/>
    <w:rsid w:val="005E5E73"/>
    <w:rsid w:val="005E7BDB"/>
    <w:rsid w:val="005F0D7E"/>
    <w:rsid w:val="005F378F"/>
    <w:rsid w:val="005F5741"/>
    <w:rsid w:val="005F76A2"/>
    <w:rsid w:val="005F7F1F"/>
    <w:rsid w:val="0060060C"/>
    <w:rsid w:val="00602A28"/>
    <w:rsid w:val="00603054"/>
    <w:rsid w:val="0060739C"/>
    <w:rsid w:val="0060743B"/>
    <w:rsid w:val="006136DA"/>
    <w:rsid w:val="006136F3"/>
    <w:rsid w:val="00613EE8"/>
    <w:rsid w:val="00614B13"/>
    <w:rsid w:val="006176A8"/>
    <w:rsid w:val="006179C4"/>
    <w:rsid w:val="00623425"/>
    <w:rsid w:val="00623CD8"/>
    <w:rsid w:val="00625EE8"/>
    <w:rsid w:val="00625F4B"/>
    <w:rsid w:val="00626CC5"/>
    <w:rsid w:val="00627BA6"/>
    <w:rsid w:val="0063008D"/>
    <w:rsid w:val="0063071B"/>
    <w:rsid w:val="00631FAA"/>
    <w:rsid w:val="006320DF"/>
    <w:rsid w:val="0063388B"/>
    <w:rsid w:val="006344AF"/>
    <w:rsid w:val="0063451E"/>
    <w:rsid w:val="006403C1"/>
    <w:rsid w:val="006432ED"/>
    <w:rsid w:val="00643BF0"/>
    <w:rsid w:val="00646016"/>
    <w:rsid w:val="00646BA9"/>
    <w:rsid w:val="0065060B"/>
    <w:rsid w:val="00650BD1"/>
    <w:rsid w:val="006513F3"/>
    <w:rsid w:val="006516DA"/>
    <w:rsid w:val="0065279F"/>
    <w:rsid w:val="00652AA9"/>
    <w:rsid w:val="006549AC"/>
    <w:rsid w:val="00655565"/>
    <w:rsid w:val="006571FD"/>
    <w:rsid w:val="0065797F"/>
    <w:rsid w:val="0066553D"/>
    <w:rsid w:val="00670DB5"/>
    <w:rsid w:val="00671294"/>
    <w:rsid w:val="00671D7A"/>
    <w:rsid w:val="00672716"/>
    <w:rsid w:val="00677151"/>
    <w:rsid w:val="00680CB3"/>
    <w:rsid w:val="00681BE6"/>
    <w:rsid w:val="006854C8"/>
    <w:rsid w:val="00685D3A"/>
    <w:rsid w:val="006875E3"/>
    <w:rsid w:val="00687EBC"/>
    <w:rsid w:val="006901BD"/>
    <w:rsid w:val="00690ADF"/>
    <w:rsid w:val="00692C5C"/>
    <w:rsid w:val="00692E70"/>
    <w:rsid w:val="00694061"/>
    <w:rsid w:val="006961DB"/>
    <w:rsid w:val="006964B1"/>
    <w:rsid w:val="006A1207"/>
    <w:rsid w:val="006A150C"/>
    <w:rsid w:val="006A2204"/>
    <w:rsid w:val="006A4CB3"/>
    <w:rsid w:val="006A7348"/>
    <w:rsid w:val="006A7BC6"/>
    <w:rsid w:val="006B0B6C"/>
    <w:rsid w:val="006B0DC4"/>
    <w:rsid w:val="006B43C2"/>
    <w:rsid w:val="006B56B6"/>
    <w:rsid w:val="006B6531"/>
    <w:rsid w:val="006B7477"/>
    <w:rsid w:val="006C0564"/>
    <w:rsid w:val="006C5877"/>
    <w:rsid w:val="006C67B1"/>
    <w:rsid w:val="006C6CFC"/>
    <w:rsid w:val="006D1245"/>
    <w:rsid w:val="006D40A1"/>
    <w:rsid w:val="006D4C2F"/>
    <w:rsid w:val="006D4DA2"/>
    <w:rsid w:val="006D64A3"/>
    <w:rsid w:val="006D7B6E"/>
    <w:rsid w:val="006E0D06"/>
    <w:rsid w:val="006E199A"/>
    <w:rsid w:val="006E1A45"/>
    <w:rsid w:val="006E252D"/>
    <w:rsid w:val="006E2C80"/>
    <w:rsid w:val="006E3289"/>
    <w:rsid w:val="006E426A"/>
    <w:rsid w:val="006E5520"/>
    <w:rsid w:val="006E6F06"/>
    <w:rsid w:val="006E700B"/>
    <w:rsid w:val="006E7997"/>
    <w:rsid w:val="006E7AAC"/>
    <w:rsid w:val="006E7B35"/>
    <w:rsid w:val="006F1773"/>
    <w:rsid w:val="006F2C8D"/>
    <w:rsid w:val="006F35FC"/>
    <w:rsid w:val="006F4A7D"/>
    <w:rsid w:val="006F50D0"/>
    <w:rsid w:val="006F59B4"/>
    <w:rsid w:val="007001C5"/>
    <w:rsid w:val="00702073"/>
    <w:rsid w:val="00703A96"/>
    <w:rsid w:val="00704158"/>
    <w:rsid w:val="0071131B"/>
    <w:rsid w:val="0071134D"/>
    <w:rsid w:val="00712DA5"/>
    <w:rsid w:val="0071393E"/>
    <w:rsid w:val="00714126"/>
    <w:rsid w:val="00714219"/>
    <w:rsid w:val="00714738"/>
    <w:rsid w:val="007209CD"/>
    <w:rsid w:val="00720EB1"/>
    <w:rsid w:val="007219DB"/>
    <w:rsid w:val="00722C74"/>
    <w:rsid w:val="00724057"/>
    <w:rsid w:val="007316E3"/>
    <w:rsid w:val="00734A51"/>
    <w:rsid w:val="00735226"/>
    <w:rsid w:val="007353A6"/>
    <w:rsid w:val="00735B22"/>
    <w:rsid w:val="00735CCB"/>
    <w:rsid w:val="007360AF"/>
    <w:rsid w:val="0074103B"/>
    <w:rsid w:val="00741C1F"/>
    <w:rsid w:val="00741EE1"/>
    <w:rsid w:val="007437CC"/>
    <w:rsid w:val="007445F6"/>
    <w:rsid w:val="007450ED"/>
    <w:rsid w:val="007510B0"/>
    <w:rsid w:val="00751780"/>
    <w:rsid w:val="00752626"/>
    <w:rsid w:val="00755DD6"/>
    <w:rsid w:val="00760680"/>
    <w:rsid w:val="007607D2"/>
    <w:rsid w:val="00761025"/>
    <w:rsid w:val="00761066"/>
    <w:rsid w:val="00761B4B"/>
    <w:rsid w:val="007626AA"/>
    <w:rsid w:val="0076384A"/>
    <w:rsid w:val="00763AD8"/>
    <w:rsid w:val="007666FE"/>
    <w:rsid w:val="00766929"/>
    <w:rsid w:val="00766E77"/>
    <w:rsid w:val="00767D95"/>
    <w:rsid w:val="007700CE"/>
    <w:rsid w:val="007703EA"/>
    <w:rsid w:val="00771657"/>
    <w:rsid w:val="00776019"/>
    <w:rsid w:val="007768F6"/>
    <w:rsid w:val="00776FDE"/>
    <w:rsid w:val="007810DE"/>
    <w:rsid w:val="0078243E"/>
    <w:rsid w:val="0078513A"/>
    <w:rsid w:val="00785F55"/>
    <w:rsid w:val="00786C4C"/>
    <w:rsid w:val="00790CBC"/>
    <w:rsid w:val="00791224"/>
    <w:rsid w:val="00793D34"/>
    <w:rsid w:val="00796AC2"/>
    <w:rsid w:val="00797E1A"/>
    <w:rsid w:val="007A1C4C"/>
    <w:rsid w:val="007A26FF"/>
    <w:rsid w:val="007A5816"/>
    <w:rsid w:val="007B0131"/>
    <w:rsid w:val="007B0332"/>
    <w:rsid w:val="007B0FC0"/>
    <w:rsid w:val="007B3B51"/>
    <w:rsid w:val="007B676A"/>
    <w:rsid w:val="007C09F4"/>
    <w:rsid w:val="007C38AB"/>
    <w:rsid w:val="007C481D"/>
    <w:rsid w:val="007C5ECB"/>
    <w:rsid w:val="007C5FA3"/>
    <w:rsid w:val="007D1262"/>
    <w:rsid w:val="007D41BC"/>
    <w:rsid w:val="007D5658"/>
    <w:rsid w:val="007D5945"/>
    <w:rsid w:val="007D639A"/>
    <w:rsid w:val="007E1797"/>
    <w:rsid w:val="007E1FC9"/>
    <w:rsid w:val="007E49D5"/>
    <w:rsid w:val="007E6BD0"/>
    <w:rsid w:val="007E7AAD"/>
    <w:rsid w:val="007E7FCE"/>
    <w:rsid w:val="007F0862"/>
    <w:rsid w:val="007F0E26"/>
    <w:rsid w:val="007F159F"/>
    <w:rsid w:val="007F1D3F"/>
    <w:rsid w:val="007F55E9"/>
    <w:rsid w:val="007F5A15"/>
    <w:rsid w:val="007F61E6"/>
    <w:rsid w:val="00800F67"/>
    <w:rsid w:val="0080353D"/>
    <w:rsid w:val="0080600A"/>
    <w:rsid w:val="00806F5A"/>
    <w:rsid w:val="00816077"/>
    <w:rsid w:val="0081717D"/>
    <w:rsid w:val="00817F9F"/>
    <w:rsid w:val="008257CB"/>
    <w:rsid w:val="00827928"/>
    <w:rsid w:val="00831019"/>
    <w:rsid w:val="008317B5"/>
    <w:rsid w:val="00833F14"/>
    <w:rsid w:val="008347DA"/>
    <w:rsid w:val="00834BD4"/>
    <w:rsid w:val="00836057"/>
    <w:rsid w:val="008368BD"/>
    <w:rsid w:val="008404C9"/>
    <w:rsid w:val="00840BBB"/>
    <w:rsid w:val="008413AF"/>
    <w:rsid w:val="00841891"/>
    <w:rsid w:val="008444A3"/>
    <w:rsid w:val="008500EA"/>
    <w:rsid w:val="008538EB"/>
    <w:rsid w:val="00855E3B"/>
    <w:rsid w:val="00856E4A"/>
    <w:rsid w:val="00857279"/>
    <w:rsid w:val="008612F6"/>
    <w:rsid w:val="00863107"/>
    <w:rsid w:val="008656DB"/>
    <w:rsid w:val="00867907"/>
    <w:rsid w:val="00870B8C"/>
    <w:rsid w:val="008711CC"/>
    <w:rsid w:val="0087141E"/>
    <w:rsid w:val="00871760"/>
    <w:rsid w:val="00872608"/>
    <w:rsid w:val="00874A99"/>
    <w:rsid w:val="00882495"/>
    <w:rsid w:val="00882F5C"/>
    <w:rsid w:val="00883671"/>
    <w:rsid w:val="00883699"/>
    <w:rsid w:val="00884170"/>
    <w:rsid w:val="00884E15"/>
    <w:rsid w:val="008875BE"/>
    <w:rsid w:val="00891D44"/>
    <w:rsid w:val="00895587"/>
    <w:rsid w:val="0089790A"/>
    <w:rsid w:val="008A0109"/>
    <w:rsid w:val="008B0289"/>
    <w:rsid w:val="008B0422"/>
    <w:rsid w:val="008B2C7B"/>
    <w:rsid w:val="008B62D1"/>
    <w:rsid w:val="008B67E3"/>
    <w:rsid w:val="008B7786"/>
    <w:rsid w:val="008C06BE"/>
    <w:rsid w:val="008C2DFE"/>
    <w:rsid w:val="008C30F8"/>
    <w:rsid w:val="008C3D53"/>
    <w:rsid w:val="008C4EA1"/>
    <w:rsid w:val="008C74BD"/>
    <w:rsid w:val="008D07C0"/>
    <w:rsid w:val="008D11D4"/>
    <w:rsid w:val="008D2035"/>
    <w:rsid w:val="008D259A"/>
    <w:rsid w:val="008D2DE1"/>
    <w:rsid w:val="008D5C7F"/>
    <w:rsid w:val="008D6AB2"/>
    <w:rsid w:val="008E204D"/>
    <w:rsid w:val="008E279A"/>
    <w:rsid w:val="008E3B23"/>
    <w:rsid w:val="008E5C78"/>
    <w:rsid w:val="008E5E47"/>
    <w:rsid w:val="008E6764"/>
    <w:rsid w:val="008F05A3"/>
    <w:rsid w:val="008F4B7E"/>
    <w:rsid w:val="008F5769"/>
    <w:rsid w:val="008F59D2"/>
    <w:rsid w:val="008F6193"/>
    <w:rsid w:val="008F67C7"/>
    <w:rsid w:val="009005C5"/>
    <w:rsid w:val="009015CA"/>
    <w:rsid w:val="0090211B"/>
    <w:rsid w:val="00902B91"/>
    <w:rsid w:val="00905834"/>
    <w:rsid w:val="00910A93"/>
    <w:rsid w:val="00912A26"/>
    <w:rsid w:val="00913C6F"/>
    <w:rsid w:val="00916EA9"/>
    <w:rsid w:val="00916F3B"/>
    <w:rsid w:val="009201A2"/>
    <w:rsid w:val="009203E4"/>
    <w:rsid w:val="0092239E"/>
    <w:rsid w:val="009227B0"/>
    <w:rsid w:val="00922C6A"/>
    <w:rsid w:val="009246CD"/>
    <w:rsid w:val="00924BBD"/>
    <w:rsid w:val="00927E57"/>
    <w:rsid w:val="009301E0"/>
    <w:rsid w:val="00933861"/>
    <w:rsid w:val="00937854"/>
    <w:rsid w:val="00937CC6"/>
    <w:rsid w:val="009418A3"/>
    <w:rsid w:val="00942655"/>
    <w:rsid w:val="00946846"/>
    <w:rsid w:val="00947614"/>
    <w:rsid w:val="00953DFE"/>
    <w:rsid w:val="00953E19"/>
    <w:rsid w:val="00955DD6"/>
    <w:rsid w:val="00956A6D"/>
    <w:rsid w:val="00960083"/>
    <w:rsid w:val="009600FE"/>
    <w:rsid w:val="00960ED8"/>
    <w:rsid w:val="0096192A"/>
    <w:rsid w:val="009657A2"/>
    <w:rsid w:val="009673B1"/>
    <w:rsid w:val="00967660"/>
    <w:rsid w:val="00967FB7"/>
    <w:rsid w:val="00970477"/>
    <w:rsid w:val="00970988"/>
    <w:rsid w:val="0097128F"/>
    <w:rsid w:val="009717D0"/>
    <w:rsid w:val="00972302"/>
    <w:rsid w:val="00972406"/>
    <w:rsid w:val="00973779"/>
    <w:rsid w:val="009768EE"/>
    <w:rsid w:val="00977D0E"/>
    <w:rsid w:val="00980256"/>
    <w:rsid w:val="00981C4E"/>
    <w:rsid w:val="009834A9"/>
    <w:rsid w:val="00984D7A"/>
    <w:rsid w:val="00985AB0"/>
    <w:rsid w:val="009865A0"/>
    <w:rsid w:val="009928ED"/>
    <w:rsid w:val="009937B2"/>
    <w:rsid w:val="009940D6"/>
    <w:rsid w:val="0099486E"/>
    <w:rsid w:val="0099508A"/>
    <w:rsid w:val="009A1D88"/>
    <w:rsid w:val="009A3B92"/>
    <w:rsid w:val="009A3C4A"/>
    <w:rsid w:val="009A51D4"/>
    <w:rsid w:val="009A5A0C"/>
    <w:rsid w:val="009A5C03"/>
    <w:rsid w:val="009A6677"/>
    <w:rsid w:val="009B21D5"/>
    <w:rsid w:val="009B54E8"/>
    <w:rsid w:val="009B7E4F"/>
    <w:rsid w:val="009B7EBA"/>
    <w:rsid w:val="009C117A"/>
    <w:rsid w:val="009C230A"/>
    <w:rsid w:val="009C2E8F"/>
    <w:rsid w:val="009C31E8"/>
    <w:rsid w:val="009C3C68"/>
    <w:rsid w:val="009C481B"/>
    <w:rsid w:val="009C60EF"/>
    <w:rsid w:val="009C6143"/>
    <w:rsid w:val="009C7451"/>
    <w:rsid w:val="009D157F"/>
    <w:rsid w:val="009D17BB"/>
    <w:rsid w:val="009D19BA"/>
    <w:rsid w:val="009D2456"/>
    <w:rsid w:val="009D6160"/>
    <w:rsid w:val="009D6E2D"/>
    <w:rsid w:val="009E2C4A"/>
    <w:rsid w:val="009E4208"/>
    <w:rsid w:val="009E563E"/>
    <w:rsid w:val="009E59D3"/>
    <w:rsid w:val="009E6663"/>
    <w:rsid w:val="009E68B6"/>
    <w:rsid w:val="009E7297"/>
    <w:rsid w:val="009F3D0F"/>
    <w:rsid w:val="009F6C68"/>
    <w:rsid w:val="009F6C69"/>
    <w:rsid w:val="009F764B"/>
    <w:rsid w:val="009F76C2"/>
    <w:rsid w:val="00A018B2"/>
    <w:rsid w:val="00A0210F"/>
    <w:rsid w:val="00A027DC"/>
    <w:rsid w:val="00A038C2"/>
    <w:rsid w:val="00A044F1"/>
    <w:rsid w:val="00A05A94"/>
    <w:rsid w:val="00A070C6"/>
    <w:rsid w:val="00A070F6"/>
    <w:rsid w:val="00A07627"/>
    <w:rsid w:val="00A0784F"/>
    <w:rsid w:val="00A07F3C"/>
    <w:rsid w:val="00A10DA5"/>
    <w:rsid w:val="00A12213"/>
    <w:rsid w:val="00A15A72"/>
    <w:rsid w:val="00A16CD8"/>
    <w:rsid w:val="00A20ABC"/>
    <w:rsid w:val="00A20E66"/>
    <w:rsid w:val="00A2324F"/>
    <w:rsid w:val="00A23755"/>
    <w:rsid w:val="00A238E0"/>
    <w:rsid w:val="00A24331"/>
    <w:rsid w:val="00A274AF"/>
    <w:rsid w:val="00A27A0C"/>
    <w:rsid w:val="00A31BE3"/>
    <w:rsid w:val="00A31E0B"/>
    <w:rsid w:val="00A33E4C"/>
    <w:rsid w:val="00A34BFE"/>
    <w:rsid w:val="00A37660"/>
    <w:rsid w:val="00A40734"/>
    <w:rsid w:val="00A42175"/>
    <w:rsid w:val="00A42F77"/>
    <w:rsid w:val="00A45F84"/>
    <w:rsid w:val="00A506D4"/>
    <w:rsid w:val="00A508D0"/>
    <w:rsid w:val="00A51972"/>
    <w:rsid w:val="00A51D38"/>
    <w:rsid w:val="00A544A5"/>
    <w:rsid w:val="00A553E2"/>
    <w:rsid w:val="00A558AB"/>
    <w:rsid w:val="00A55D05"/>
    <w:rsid w:val="00A61072"/>
    <w:rsid w:val="00A62C0B"/>
    <w:rsid w:val="00A64B56"/>
    <w:rsid w:val="00A65E02"/>
    <w:rsid w:val="00A66BC7"/>
    <w:rsid w:val="00A74CA1"/>
    <w:rsid w:val="00A81618"/>
    <w:rsid w:val="00A847BF"/>
    <w:rsid w:val="00A8723F"/>
    <w:rsid w:val="00A9255C"/>
    <w:rsid w:val="00A92C79"/>
    <w:rsid w:val="00A93433"/>
    <w:rsid w:val="00A93666"/>
    <w:rsid w:val="00A943FF"/>
    <w:rsid w:val="00A94B5C"/>
    <w:rsid w:val="00A94DBF"/>
    <w:rsid w:val="00A95AF9"/>
    <w:rsid w:val="00AA28A4"/>
    <w:rsid w:val="00AA32E9"/>
    <w:rsid w:val="00AA36B3"/>
    <w:rsid w:val="00AA3761"/>
    <w:rsid w:val="00AA3838"/>
    <w:rsid w:val="00AA3BB0"/>
    <w:rsid w:val="00AA4687"/>
    <w:rsid w:val="00AA5046"/>
    <w:rsid w:val="00AA7079"/>
    <w:rsid w:val="00AA7242"/>
    <w:rsid w:val="00AA770E"/>
    <w:rsid w:val="00AB0E52"/>
    <w:rsid w:val="00AB1F8B"/>
    <w:rsid w:val="00AB448B"/>
    <w:rsid w:val="00AC274D"/>
    <w:rsid w:val="00AC58FB"/>
    <w:rsid w:val="00AC6238"/>
    <w:rsid w:val="00AD0045"/>
    <w:rsid w:val="00AD0E25"/>
    <w:rsid w:val="00AD24FE"/>
    <w:rsid w:val="00AD2865"/>
    <w:rsid w:val="00AD3863"/>
    <w:rsid w:val="00AD3ACE"/>
    <w:rsid w:val="00AD5CCB"/>
    <w:rsid w:val="00AD776D"/>
    <w:rsid w:val="00AD77F3"/>
    <w:rsid w:val="00AE1255"/>
    <w:rsid w:val="00AE1256"/>
    <w:rsid w:val="00AE23E5"/>
    <w:rsid w:val="00AE4608"/>
    <w:rsid w:val="00AE55B4"/>
    <w:rsid w:val="00AE65B2"/>
    <w:rsid w:val="00AE68E1"/>
    <w:rsid w:val="00AE71AB"/>
    <w:rsid w:val="00AE7A24"/>
    <w:rsid w:val="00AE7D06"/>
    <w:rsid w:val="00AF4A23"/>
    <w:rsid w:val="00AF5298"/>
    <w:rsid w:val="00B0255C"/>
    <w:rsid w:val="00B03DD6"/>
    <w:rsid w:val="00B03FC4"/>
    <w:rsid w:val="00B0457F"/>
    <w:rsid w:val="00B05D97"/>
    <w:rsid w:val="00B06AFE"/>
    <w:rsid w:val="00B06EBF"/>
    <w:rsid w:val="00B074A6"/>
    <w:rsid w:val="00B10694"/>
    <w:rsid w:val="00B12AF1"/>
    <w:rsid w:val="00B138BC"/>
    <w:rsid w:val="00B13B8D"/>
    <w:rsid w:val="00B16D79"/>
    <w:rsid w:val="00B16E6A"/>
    <w:rsid w:val="00B17A9A"/>
    <w:rsid w:val="00B17E0E"/>
    <w:rsid w:val="00B20712"/>
    <w:rsid w:val="00B225C5"/>
    <w:rsid w:val="00B23E9E"/>
    <w:rsid w:val="00B25FA1"/>
    <w:rsid w:val="00B264C3"/>
    <w:rsid w:val="00B27F6C"/>
    <w:rsid w:val="00B304F8"/>
    <w:rsid w:val="00B3155C"/>
    <w:rsid w:val="00B32A0D"/>
    <w:rsid w:val="00B334BC"/>
    <w:rsid w:val="00B3738C"/>
    <w:rsid w:val="00B409D1"/>
    <w:rsid w:val="00B40D6D"/>
    <w:rsid w:val="00B417D6"/>
    <w:rsid w:val="00B41965"/>
    <w:rsid w:val="00B42717"/>
    <w:rsid w:val="00B50072"/>
    <w:rsid w:val="00B534B6"/>
    <w:rsid w:val="00B54D1B"/>
    <w:rsid w:val="00B54FA7"/>
    <w:rsid w:val="00B558A3"/>
    <w:rsid w:val="00B60501"/>
    <w:rsid w:val="00B60DD8"/>
    <w:rsid w:val="00B6253B"/>
    <w:rsid w:val="00B6354A"/>
    <w:rsid w:val="00B63E9E"/>
    <w:rsid w:val="00B654EA"/>
    <w:rsid w:val="00B7014F"/>
    <w:rsid w:val="00B702F8"/>
    <w:rsid w:val="00B71EE3"/>
    <w:rsid w:val="00B80403"/>
    <w:rsid w:val="00B80B19"/>
    <w:rsid w:val="00B8184E"/>
    <w:rsid w:val="00B82548"/>
    <w:rsid w:val="00B84BE9"/>
    <w:rsid w:val="00B85798"/>
    <w:rsid w:val="00B869D9"/>
    <w:rsid w:val="00B90F21"/>
    <w:rsid w:val="00B91B16"/>
    <w:rsid w:val="00B92D50"/>
    <w:rsid w:val="00B9306A"/>
    <w:rsid w:val="00B94554"/>
    <w:rsid w:val="00B94BA4"/>
    <w:rsid w:val="00B95F9C"/>
    <w:rsid w:val="00B96DC2"/>
    <w:rsid w:val="00B97272"/>
    <w:rsid w:val="00B97C93"/>
    <w:rsid w:val="00B97DA3"/>
    <w:rsid w:val="00BA0343"/>
    <w:rsid w:val="00BA039F"/>
    <w:rsid w:val="00BA36B4"/>
    <w:rsid w:val="00BA74B1"/>
    <w:rsid w:val="00BB1B47"/>
    <w:rsid w:val="00BB2F2C"/>
    <w:rsid w:val="00BB32FA"/>
    <w:rsid w:val="00BB3850"/>
    <w:rsid w:val="00BB7339"/>
    <w:rsid w:val="00BB7EF2"/>
    <w:rsid w:val="00BC11E7"/>
    <w:rsid w:val="00BC1F0B"/>
    <w:rsid w:val="00BC3988"/>
    <w:rsid w:val="00BC3C2A"/>
    <w:rsid w:val="00BC4330"/>
    <w:rsid w:val="00BC66C7"/>
    <w:rsid w:val="00BC762A"/>
    <w:rsid w:val="00BD1F21"/>
    <w:rsid w:val="00BD37C5"/>
    <w:rsid w:val="00BD4E0D"/>
    <w:rsid w:val="00BD52B1"/>
    <w:rsid w:val="00BE315A"/>
    <w:rsid w:val="00BE63F8"/>
    <w:rsid w:val="00BF0692"/>
    <w:rsid w:val="00BF08D9"/>
    <w:rsid w:val="00BF18F6"/>
    <w:rsid w:val="00BF1CC5"/>
    <w:rsid w:val="00C011EC"/>
    <w:rsid w:val="00C030F8"/>
    <w:rsid w:val="00C035F8"/>
    <w:rsid w:val="00C060BF"/>
    <w:rsid w:val="00C069C4"/>
    <w:rsid w:val="00C113E8"/>
    <w:rsid w:val="00C1484D"/>
    <w:rsid w:val="00C153AA"/>
    <w:rsid w:val="00C16289"/>
    <w:rsid w:val="00C16A67"/>
    <w:rsid w:val="00C20C51"/>
    <w:rsid w:val="00C24C54"/>
    <w:rsid w:val="00C24FA2"/>
    <w:rsid w:val="00C260FE"/>
    <w:rsid w:val="00C2661A"/>
    <w:rsid w:val="00C266E2"/>
    <w:rsid w:val="00C369E7"/>
    <w:rsid w:val="00C36A97"/>
    <w:rsid w:val="00C37A37"/>
    <w:rsid w:val="00C40617"/>
    <w:rsid w:val="00C42CF8"/>
    <w:rsid w:val="00C44489"/>
    <w:rsid w:val="00C45921"/>
    <w:rsid w:val="00C4748F"/>
    <w:rsid w:val="00C47512"/>
    <w:rsid w:val="00C47C14"/>
    <w:rsid w:val="00C47F4C"/>
    <w:rsid w:val="00C533BF"/>
    <w:rsid w:val="00C5398A"/>
    <w:rsid w:val="00C54D28"/>
    <w:rsid w:val="00C54DCB"/>
    <w:rsid w:val="00C57F28"/>
    <w:rsid w:val="00C6052E"/>
    <w:rsid w:val="00C60874"/>
    <w:rsid w:val="00C678DB"/>
    <w:rsid w:val="00C70A07"/>
    <w:rsid w:val="00C72DA6"/>
    <w:rsid w:val="00C7309F"/>
    <w:rsid w:val="00C7391E"/>
    <w:rsid w:val="00C75F59"/>
    <w:rsid w:val="00C76868"/>
    <w:rsid w:val="00C7774D"/>
    <w:rsid w:val="00C77D3B"/>
    <w:rsid w:val="00C81B74"/>
    <w:rsid w:val="00C85199"/>
    <w:rsid w:val="00C86364"/>
    <w:rsid w:val="00C87B81"/>
    <w:rsid w:val="00C90463"/>
    <w:rsid w:val="00C91D85"/>
    <w:rsid w:val="00C93D29"/>
    <w:rsid w:val="00CA32D9"/>
    <w:rsid w:val="00CA5E3D"/>
    <w:rsid w:val="00CA6159"/>
    <w:rsid w:val="00CA69F8"/>
    <w:rsid w:val="00CA7228"/>
    <w:rsid w:val="00CB12AA"/>
    <w:rsid w:val="00CB6BC9"/>
    <w:rsid w:val="00CB765D"/>
    <w:rsid w:val="00CB7A58"/>
    <w:rsid w:val="00CB7AF1"/>
    <w:rsid w:val="00CC33DD"/>
    <w:rsid w:val="00CC434D"/>
    <w:rsid w:val="00CD09DB"/>
    <w:rsid w:val="00CD1335"/>
    <w:rsid w:val="00CD155D"/>
    <w:rsid w:val="00CD2FF4"/>
    <w:rsid w:val="00CD4E71"/>
    <w:rsid w:val="00CD7B6C"/>
    <w:rsid w:val="00CE2760"/>
    <w:rsid w:val="00CE4350"/>
    <w:rsid w:val="00CE59E3"/>
    <w:rsid w:val="00CE7042"/>
    <w:rsid w:val="00CF194A"/>
    <w:rsid w:val="00CF4A95"/>
    <w:rsid w:val="00CF6034"/>
    <w:rsid w:val="00CF7608"/>
    <w:rsid w:val="00CF7999"/>
    <w:rsid w:val="00CF7F53"/>
    <w:rsid w:val="00D012DF"/>
    <w:rsid w:val="00D02DAA"/>
    <w:rsid w:val="00D04A96"/>
    <w:rsid w:val="00D101A6"/>
    <w:rsid w:val="00D10E8A"/>
    <w:rsid w:val="00D11682"/>
    <w:rsid w:val="00D12718"/>
    <w:rsid w:val="00D153B8"/>
    <w:rsid w:val="00D1590C"/>
    <w:rsid w:val="00D15BFD"/>
    <w:rsid w:val="00D211E9"/>
    <w:rsid w:val="00D23A69"/>
    <w:rsid w:val="00D24CBC"/>
    <w:rsid w:val="00D24E8F"/>
    <w:rsid w:val="00D273D1"/>
    <w:rsid w:val="00D30F6E"/>
    <w:rsid w:val="00D33F0C"/>
    <w:rsid w:val="00D34290"/>
    <w:rsid w:val="00D35832"/>
    <w:rsid w:val="00D4088E"/>
    <w:rsid w:val="00D41B75"/>
    <w:rsid w:val="00D45110"/>
    <w:rsid w:val="00D459DE"/>
    <w:rsid w:val="00D50030"/>
    <w:rsid w:val="00D501B8"/>
    <w:rsid w:val="00D5181B"/>
    <w:rsid w:val="00D5471E"/>
    <w:rsid w:val="00D548E4"/>
    <w:rsid w:val="00D56671"/>
    <w:rsid w:val="00D61B06"/>
    <w:rsid w:val="00D62442"/>
    <w:rsid w:val="00D62663"/>
    <w:rsid w:val="00D63B60"/>
    <w:rsid w:val="00D64154"/>
    <w:rsid w:val="00D64FB7"/>
    <w:rsid w:val="00D64FC4"/>
    <w:rsid w:val="00D6699F"/>
    <w:rsid w:val="00D67996"/>
    <w:rsid w:val="00D67EC0"/>
    <w:rsid w:val="00D71C9A"/>
    <w:rsid w:val="00D73E8B"/>
    <w:rsid w:val="00D76091"/>
    <w:rsid w:val="00D7636B"/>
    <w:rsid w:val="00D76E2A"/>
    <w:rsid w:val="00D807E3"/>
    <w:rsid w:val="00D80874"/>
    <w:rsid w:val="00D8132F"/>
    <w:rsid w:val="00D842C9"/>
    <w:rsid w:val="00D8439A"/>
    <w:rsid w:val="00D8485C"/>
    <w:rsid w:val="00D86E4C"/>
    <w:rsid w:val="00D8769D"/>
    <w:rsid w:val="00D93192"/>
    <w:rsid w:val="00D93AF1"/>
    <w:rsid w:val="00D95EE2"/>
    <w:rsid w:val="00D96D1E"/>
    <w:rsid w:val="00D97A07"/>
    <w:rsid w:val="00D97B46"/>
    <w:rsid w:val="00DA0695"/>
    <w:rsid w:val="00DA2A56"/>
    <w:rsid w:val="00DA4FF2"/>
    <w:rsid w:val="00DA6B74"/>
    <w:rsid w:val="00DB51B5"/>
    <w:rsid w:val="00DB54CA"/>
    <w:rsid w:val="00DC3158"/>
    <w:rsid w:val="00DC3AE7"/>
    <w:rsid w:val="00DC637E"/>
    <w:rsid w:val="00DC67DC"/>
    <w:rsid w:val="00DC6DD5"/>
    <w:rsid w:val="00DD139F"/>
    <w:rsid w:val="00DD13B0"/>
    <w:rsid w:val="00DD172D"/>
    <w:rsid w:val="00DD2E1B"/>
    <w:rsid w:val="00DD31BF"/>
    <w:rsid w:val="00DD3C11"/>
    <w:rsid w:val="00DD4AE3"/>
    <w:rsid w:val="00DD506F"/>
    <w:rsid w:val="00DE703C"/>
    <w:rsid w:val="00DF15A9"/>
    <w:rsid w:val="00DF243E"/>
    <w:rsid w:val="00DF3897"/>
    <w:rsid w:val="00DF549B"/>
    <w:rsid w:val="00DF72F3"/>
    <w:rsid w:val="00E02456"/>
    <w:rsid w:val="00E02800"/>
    <w:rsid w:val="00E02E32"/>
    <w:rsid w:val="00E031CF"/>
    <w:rsid w:val="00E0474C"/>
    <w:rsid w:val="00E04CAF"/>
    <w:rsid w:val="00E058BD"/>
    <w:rsid w:val="00E06086"/>
    <w:rsid w:val="00E06F85"/>
    <w:rsid w:val="00E1079A"/>
    <w:rsid w:val="00E13201"/>
    <w:rsid w:val="00E13606"/>
    <w:rsid w:val="00E1576B"/>
    <w:rsid w:val="00E1722E"/>
    <w:rsid w:val="00E21C9C"/>
    <w:rsid w:val="00E265E0"/>
    <w:rsid w:val="00E302A8"/>
    <w:rsid w:val="00E30C77"/>
    <w:rsid w:val="00E32DF1"/>
    <w:rsid w:val="00E36125"/>
    <w:rsid w:val="00E3686A"/>
    <w:rsid w:val="00E37732"/>
    <w:rsid w:val="00E40FA8"/>
    <w:rsid w:val="00E411FA"/>
    <w:rsid w:val="00E417F8"/>
    <w:rsid w:val="00E42CDC"/>
    <w:rsid w:val="00E44DB2"/>
    <w:rsid w:val="00E4607C"/>
    <w:rsid w:val="00E50127"/>
    <w:rsid w:val="00E51AD1"/>
    <w:rsid w:val="00E51FA1"/>
    <w:rsid w:val="00E532A7"/>
    <w:rsid w:val="00E56C35"/>
    <w:rsid w:val="00E574E7"/>
    <w:rsid w:val="00E5769C"/>
    <w:rsid w:val="00E60A14"/>
    <w:rsid w:val="00E60B53"/>
    <w:rsid w:val="00E6151C"/>
    <w:rsid w:val="00E62295"/>
    <w:rsid w:val="00E65EBD"/>
    <w:rsid w:val="00E6643B"/>
    <w:rsid w:val="00E726DC"/>
    <w:rsid w:val="00E7306D"/>
    <w:rsid w:val="00E76A64"/>
    <w:rsid w:val="00E8220E"/>
    <w:rsid w:val="00E83D30"/>
    <w:rsid w:val="00E840F4"/>
    <w:rsid w:val="00E85F42"/>
    <w:rsid w:val="00E9132B"/>
    <w:rsid w:val="00E9158A"/>
    <w:rsid w:val="00E94FDF"/>
    <w:rsid w:val="00E95A35"/>
    <w:rsid w:val="00E97198"/>
    <w:rsid w:val="00E9722F"/>
    <w:rsid w:val="00E97260"/>
    <w:rsid w:val="00E97C6D"/>
    <w:rsid w:val="00EA1B5C"/>
    <w:rsid w:val="00EA472C"/>
    <w:rsid w:val="00EA700A"/>
    <w:rsid w:val="00EA7530"/>
    <w:rsid w:val="00EA75E5"/>
    <w:rsid w:val="00EA7A3E"/>
    <w:rsid w:val="00EA7D40"/>
    <w:rsid w:val="00EB01F3"/>
    <w:rsid w:val="00EB32B7"/>
    <w:rsid w:val="00EB3776"/>
    <w:rsid w:val="00EB383F"/>
    <w:rsid w:val="00EB444D"/>
    <w:rsid w:val="00EB5C33"/>
    <w:rsid w:val="00EB6B5C"/>
    <w:rsid w:val="00EB7274"/>
    <w:rsid w:val="00EB73B6"/>
    <w:rsid w:val="00EC0183"/>
    <w:rsid w:val="00EC0B4E"/>
    <w:rsid w:val="00EC23A0"/>
    <w:rsid w:val="00EC62A2"/>
    <w:rsid w:val="00EC6A0C"/>
    <w:rsid w:val="00ED14D0"/>
    <w:rsid w:val="00ED1FA7"/>
    <w:rsid w:val="00ED32D8"/>
    <w:rsid w:val="00ED3EA4"/>
    <w:rsid w:val="00ED43C5"/>
    <w:rsid w:val="00ED4A34"/>
    <w:rsid w:val="00ED4AAC"/>
    <w:rsid w:val="00ED5530"/>
    <w:rsid w:val="00ED591B"/>
    <w:rsid w:val="00EE13C0"/>
    <w:rsid w:val="00EE1506"/>
    <w:rsid w:val="00EE1649"/>
    <w:rsid w:val="00EE1CA4"/>
    <w:rsid w:val="00EE44B5"/>
    <w:rsid w:val="00EE5CED"/>
    <w:rsid w:val="00EE7FAA"/>
    <w:rsid w:val="00EF130D"/>
    <w:rsid w:val="00EF20E5"/>
    <w:rsid w:val="00EF2C33"/>
    <w:rsid w:val="00EF552C"/>
    <w:rsid w:val="00EF6219"/>
    <w:rsid w:val="00F009BE"/>
    <w:rsid w:val="00F014C4"/>
    <w:rsid w:val="00F02326"/>
    <w:rsid w:val="00F0592E"/>
    <w:rsid w:val="00F06408"/>
    <w:rsid w:val="00F10E1A"/>
    <w:rsid w:val="00F12227"/>
    <w:rsid w:val="00F1244E"/>
    <w:rsid w:val="00F13D4C"/>
    <w:rsid w:val="00F148F4"/>
    <w:rsid w:val="00F14DB5"/>
    <w:rsid w:val="00F15F35"/>
    <w:rsid w:val="00F16297"/>
    <w:rsid w:val="00F217CA"/>
    <w:rsid w:val="00F21FC6"/>
    <w:rsid w:val="00F22208"/>
    <w:rsid w:val="00F228A0"/>
    <w:rsid w:val="00F24141"/>
    <w:rsid w:val="00F248FE"/>
    <w:rsid w:val="00F24AB7"/>
    <w:rsid w:val="00F254B1"/>
    <w:rsid w:val="00F3189E"/>
    <w:rsid w:val="00F327DA"/>
    <w:rsid w:val="00F32B06"/>
    <w:rsid w:val="00F32D44"/>
    <w:rsid w:val="00F3391D"/>
    <w:rsid w:val="00F339A3"/>
    <w:rsid w:val="00F44904"/>
    <w:rsid w:val="00F45718"/>
    <w:rsid w:val="00F467EE"/>
    <w:rsid w:val="00F47B04"/>
    <w:rsid w:val="00F51445"/>
    <w:rsid w:val="00F517B0"/>
    <w:rsid w:val="00F52F77"/>
    <w:rsid w:val="00F54392"/>
    <w:rsid w:val="00F54CAB"/>
    <w:rsid w:val="00F551BF"/>
    <w:rsid w:val="00F55B31"/>
    <w:rsid w:val="00F55EFD"/>
    <w:rsid w:val="00F5607A"/>
    <w:rsid w:val="00F57A52"/>
    <w:rsid w:val="00F60D13"/>
    <w:rsid w:val="00F6630B"/>
    <w:rsid w:val="00F66826"/>
    <w:rsid w:val="00F67A14"/>
    <w:rsid w:val="00F67E08"/>
    <w:rsid w:val="00F7200B"/>
    <w:rsid w:val="00F7409A"/>
    <w:rsid w:val="00F81FC1"/>
    <w:rsid w:val="00F85035"/>
    <w:rsid w:val="00F85D08"/>
    <w:rsid w:val="00F916ED"/>
    <w:rsid w:val="00F948E5"/>
    <w:rsid w:val="00F94D2E"/>
    <w:rsid w:val="00F95A6F"/>
    <w:rsid w:val="00F970C9"/>
    <w:rsid w:val="00F97347"/>
    <w:rsid w:val="00FA01EB"/>
    <w:rsid w:val="00FA08B5"/>
    <w:rsid w:val="00FA0D48"/>
    <w:rsid w:val="00FA1758"/>
    <w:rsid w:val="00FA2520"/>
    <w:rsid w:val="00FB280D"/>
    <w:rsid w:val="00FB285D"/>
    <w:rsid w:val="00FB5D85"/>
    <w:rsid w:val="00FB664E"/>
    <w:rsid w:val="00FB674D"/>
    <w:rsid w:val="00FC2020"/>
    <w:rsid w:val="00FC2234"/>
    <w:rsid w:val="00FC2F57"/>
    <w:rsid w:val="00FC3041"/>
    <w:rsid w:val="00FC46FB"/>
    <w:rsid w:val="00FC75FB"/>
    <w:rsid w:val="00FC7742"/>
    <w:rsid w:val="00FC78DD"/>
    <w:rsid w:val="00FD01BC"/>
    <w:rsid w:val="00FD0390"/>
    <w:rsid w:val="00FD0867"/>
    <w:rsid w:val="00FD0A8D"/>
    <w:rsid w:val="00FD2644"/>
    <w:rsid w:val="00FD3172"/>
    <w:rsid w:val="00FD5D53"/>
    <w:rsid w:val="00FD689A"/>
    <w:rsid w:val="00FD79C0"/>
    <w:rsid w:val="00FE13E2"/>
    <w:rsid w:val="00FE1ADF"/>
    <w:rsid w:val="00FE5F18"/>
    <w:rsid w:val="00FF2AB8"/>
    <w:rsid w:val="00FF320B"/>
    <w:rsid w:val="00FF3E49"/>
    <w:rsid w:val="00FF6191"/>
    <w:rsid w:val="00FF6D3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color="#6db340">
      <v:fill color="#6db340"/>
      <o:colormru v:ext="edit" colors="#6db340"/>
    </o:shapedefaults>
    <o:shapelayout v:ext="edit">
      <o:idmap v:ext="edit" data="2"/>
    </o:shapelayout>
  </w:shapeDefaults>
  <w:decimalSymbol w:val="."/>
  <w:listSeparator w:val=","/>
  <w14:docId w14:val="38B2C02B"/>
  <w15:chartTrackingRefBased/>
  <w15:docId w15:val="{6F4A4D3F-8AFD-4588-92AD-1F244EDCC9E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Malgun Gothic"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er" w:uiPriority="99"/>
    <w:lsdException w:name="caption" w:semiHidden="1" w:unhideWhenUsed="1" w:qFormat="1"/>
    <w:lsdException w:name="footnote reference" w:uiPriority="99"/>
    <w:lsdException w:name="Title" w:qFormat="1"/>
    <w:lsdException w:name="Closing" w:uiPriority="99"/>
    <w:lsdException w:name="Subtitle" w:qFormat="1"/>
    <w:lsdException w:name="Hyperlink" w:uiPriority="99"/>
    <w:lsdException w:name="Strong" w:uiPriority="22" w:qFormat="1"/>
    <w:lsdException w:name="Emphasis" w:qFormat="1"/>
    <w:lsdException w:name="Plain Text" w:uiPriority="99"/>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7810DE"/>
    <w:rPr>
      <w:rFonts w:ascii="Arial" w:hAnsi="Arial" w:cs="Arial Unicode MS"/>
      <w:color w:val="000000"/>
      <w:sz w:val="22"/>
      <w:szCs w:val="22"/>
      <w:lang w:eastAsia="ja-JP"/>
    </w:rPr>
  </w:style>
  <w:style w:type="paragraph" w:styleId="Heading1">
    <w:name w:val="heading 1"/>
    <w:basedOn w:val="Normal"/>
    <w:next w:val="Normal"/>
    <w:link w:val="Heading1Char"/>
    <w:qFormat/>
    <w:rsid w:val="0066553D"/>
    <w:pPr>
      <w:keepNext/>
      <w:autoSpaceDE w:val="0"/>
      <w:autoSpaceDN w:val="0"/>
      <w:adjustRightInd w:val="0"/>
      <w:outlineLvl w:val="0"/>
    </w:pPr>
    <w:rPr>
      <w:rFonts w:eastAsia="SimSun" w:cs="Arial"/>
      <w:b/>
      <w:bCs/>
      <w:color w:val="auto"/>
      <w:sz w:val="24"/>
      <w:szCs w:val="32"/>
      <w:lang w:eastAsia="zh-CN"/>
    </w:rPr>
  </w:style>
  <w:style w:type="paragraph" w:styleId="Heading2">
    <w:name w:val="heading 2"/>
    <w:basedOn w:val="Normal"/>
    <w:next w:val="Normal"/>
    <w:qFormat/>
    <w:rsid w:val="0066553D"/>
    <w:pPr>
      <w:keepNext/>
      <w:autoSpaceDE w:val="0"/>
      <w:autoSpaceDN w:val="0"/>
      <w:adjustRightInd w:val="0"/>
      <w:outlineLvl w:val="1"/>
    </w:pPr>
    <w:rPr>
      <w:rFonts w:eastAsia="SimSun" w:cs="Arial"/>
      <w:b/>
      <w:bCs/>
      <w:color w:val="008000"/>
      <w:sz w:val="32"/>
      <w:szCs w:val="32"/>
      <w:lang w:eastAsia="zh-CN"/>
    </w:rPr>
  </w:style>
  <w:style w:type="paragraph" w:styleId="Heading3">
    <w:name w:val="heading 3"/>
    <w:basedOn w:val="Normal"/>
    <w:next w:val="Normal"/>
    <w:link w:val="Heading3Char"/>
    <w:unhideWhenUsed/>
    <w:qFormat/>
    <w:rsid w:val="008538EB"/>
    <w:pPr>
      <w:keepNext/>
      <w:keepLines/>
      <w:spacing w:before="40"/>
      <w:outlineLvl w:val="2"/>
    </w:pPr>
    <w:rPr>
      <w:rFonts w:asciiTheme="majorHAnsi" w:eastAsiaTheme="majorEastAsia" w:hAnsiTheme="majorHAnsi" w:cstheme="majorBidi"/>
      <w:color w:val="0A2F40" w:themeColor="accent1" w:themeShade="7F"/>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rsid w:val="003E5446"/>
    <w:pPr>
      <w:tabs>
        <w:tab w:val="center" w:pos="4320"/>
        <w:tab w:val="right" w:pos="8640"/>
      </w:tabs>
    </w:pPr>
  </w:style>
  <w:style w:type="paragraph" w:styleId="Footer">
    <w:name w:val="footer"/>
    <w:basedOn w:val="Normal"/>
    <w:link w:val="FooterChar"/>
    <w:uiPriority w:val="99"/>
    <w:rsid w:val="00755DD6"/>
    <w:pPr>
      <w:tabs>
        <w:tab w:val="center" w:pos="4320"/>
        <w:tab w:val="right" w:pos="8640"/>
      </w:tabs>
    </w:pPr>
    <w:rPr>
      <w:i/>
      <w:color w:val="0000FF"/>
      <w:sz w:val="16"/>
    </w:rPr>
  </w:style>
  <w:style w:type="paragraph" w:styleId="NormalWeb">
    <w:name w:val="Normal (Web)"/>
    <w:basedOn w:val="Normal"/>
    <w:uiPriority w:val="99"/>
    <w:rsid w:val="00F55B31"/>
    <w:pPr>
      <w:spacing w:before="100" w:beforeAutospacing="1" w:after="100" w:afterAutospacing="1"/>
    </w:pPr>
    <w:rPr>
      <w:rFonts w:cs="Times New Roman"/>
      <w:sz w:val="18"/>
      <w:szCs w:val="18"/>
      <w:lang w:bidi="th-TH"/>
    </w:rPr>
  </w:style>
  <w:style w:type="paragraph" w:styleId="BodyText">
    <w:name w:val="Body Text"/>
    <w:basedOn w:val="Normal"/>
    <w:link w:val="BodyTextChar"/>
    <w:rsid w:val="006C0564"/>
    <w:pPr>
      <w:jc w:val="both"/>
    </w:pPr>
    <w:rPr>
      <w:rFonts w:ascii="Antique Olive" w:eastAsia="Times New Roman" w:hAnsi="Antique Olive" w:cs="Angsana New"/>
      <w:color w:val="auto"/>
      <w:szCs w:val="24"/>
      <w:lang w:eastAsia="en-US" w:bidi="he-IL"/>
    </w:rPr>
  </w:style>
  <w:style w:type="paragraph" w:styleId="BodyText2">
    <w:name w:val="Body Text 2"/>
    <w:basedOn w:val="Normal"/>
    <w:rsid w:val="00C37A37"/>
    <w:pPr>
      <w:spacing w:after="120" w:line="480" w:lineRule="auto"/>
    </w:pPr>
  </w:style>
  <w:style w:type="character" w:customStyle="1" w:styleId="StyleBoldCustomColorRGB10917964">
    <w:name w:val="Style Bold Custom Color(RGB(10917964))"/>
    <w:rsid w:val="00A2324F"/>
    <w:rPr>
      <w:b/>
      <w:bCs/>
      <w:color w:val="6DB340"/>
      <w:sz w:val="24"/>
    </w:rPr>
  </w:style>
  <w:style w:type="character" w:customStyle="1" w:styleId="Style14ptBoldCustomColorRGB10917964">
    <w:name w:val="Style 14 pt Bold Custom Color(RGB(10917964))"/>
    <w:rsid w:val="003F4AFB"/>
    <w:rPr>
      <w:b/>
      <w:bCs/>
      <w:i/>
      <w:color w:val="6DB340"/>
      <w:sz w:val="28"/>
      <w:szCs w:val="28"/>
    </w:rPr>
  </w:style>
  <w:style w:type="character" w:customStyle="1" w:styleId="StyleBoldItalicCustomColorRGB10917964">
    <w:name w:val="Style Bold Italic Custom Color(RGB(10917964))"/>
    <w:rsid w:val="002955C8"/>
    <w:rPr>
      <w:b/>
      <w:bCs/>
      <w:i/>
      <w:iCs/>
      <w:color w:val="6DB340"/>
      <w:sz w:val="28"/>
    </w:rPr>
  </w:style>
  <w:style w:type="character" w:customStyle="1" w:styleId="StyleBoldItalicCustomColorRGB109179641">
    <w:name w:val="Style Bold Italic Custom Color(RGB(10917964))1"/>
    <w:rsid w:val="002955C8"/>
    <w:rPr>
      <w:b/>
      <w:bCs/>
      <w:i/>
      <w:iCs/>
      <w:color w:val="6DB340"/>
      <w:sz w:val="28"/>
    </w:rPr>
  </w:style>
  <w:style w:type="character" w:customStyle="1" w:styleId="StyleBoldCustomColorRGB109179641">
    <w:name w:val="Style Bold Custom Color(RGB(10917964))1"/>
    <w:rsid w:val="00016A6D"/>
    <w:rPr>
      <w:b/>
      <w:bCs/>
      <w:color w:val="6DB340"/>
      <w:sz w:val="24"/>
    </w:rPr>
  </w:style>
  <w:style w:type="character" w:styleId="Hyperlink">
    <w:name w:val="Hyperlink"/>
    <w:uiPriority w:val="99"/>
    <w:rsid w:val="0066553D"/>
    <w:rPr>
      <w:color w:val="00FF00"/>
      <w:u w:val="single"/>
    </w:rPr>
  </w:style>
  <w:style w:type="character" w:styleId="PageNumber">
    <w:name w:val="page number"/>
    <w:basedOn w:val="DefaultParagraphFont"/>
    <w:rsid w:val="00B7014F"/>
  </w:style>
  <w:style w:type="character" w:customStyle="1" w:styleId="Heading1Char">
    <w:name w:val="Heading 1 Char"/>
    <w:link w:val="Heading1"/>
    <w:rsid w:val="00F7409A"/>
    <w:rPr>
      <w:rFonts w:ascii="Arial" w:eastAsia="SimSun" w:hAnsi="Arial" w:cs="Arial"/>
      <w:b/>
      <w:bCs/>
      <w:sz w:val="24"/>
      <w:szCs w:val="32"/>
      <w:lang w:val="en-US" w:eastAsia="zh-CN" w:bidi="ar-SA"/>
    </w:rPr>
  </w:style>
  <w:style w:type="paragraph" w:customStyle="1" w:styleId="BodyText1">
    <w:name w:val="Body Text1"/>
    <w:rsid w:val="0089790A"/>
    <w:rPr>
      <w:rFonts w:ascii="Arial" w:hAnsi="Arial" w:cs="Arial Unicode MS"/>
      <w:color w:val="000000"/>
      <w:sz w:val="22"/>
      <w:szCs w:val="22"/>
      <w:lang w:eastAsia="ja-JP"/>
    </w:rPr>
  </w:style>
  <w:style w:type="character" w:styleId="Strong">
    <w:name w:val="Strong"/>
    <w:uiPriority w:val="22"/>
    <w:qFormat/>
    <w:rsid w:val="0089790A"/>
    <w:rPr>
      <w:b/>
      <w:bCs/>
    </w:rPr>
  </w:style>
  <w:style w:type="character" w:styleId="FollowedHyperlink">
    <w:name w:val="FollowedHyperlink"/>
    <w:rsid w:val="0089790A"/>
    <w:rPr>
      <w:color w:val="800080"/>
      <w:u w:val="single"/>
    </w:rPr>
  </w:style>
  <w:style w:type="character" w:customStyle="1" w:styleId="qlinks1">
    <w:name w:val="qlinks1"/>
    <w:rsid w:val="00123648"/>
    <w:rPr>
      <w:rFonts w:ascii="Arial" w:hAnsi="Arial" w:hint="default"/>
    </w:rPr>
  </w:style>
  <w:style w:type="character" w:customStyle="1" w:styleId="Test">
    <w:name w:val="Test"/>
    <w:semiHidden/>
    <w:rsid w:val="00123648"/>
    <w:rPr>
      <w:rFonts w:ascii="Arial" w:hAnsi="Arial" w:cs="Arial"/>
      <w:color w:val="auto"/>
      <w:sz w:val="20"/>
      <w:szCs w:val="20"/>
    </w:rPr>
  </w:style>
  <w:style w:type="paragraph" w:styleId="EnvelopeReturn">
    <w:name w:val="envelope return"/>
    <w:basedOn w:val="Normal"/>
    <w:rsid w:val="00123648"/>
    <w:pPr>
      <w:spacing w:before="100" w:beforeAutospacing="1" w:after="100" w:afterAutospacing="1"/>
    </w:pPr>
    <w:rPr>
      <w:rFonts w:ascii="Times New Roman" w:eastAsia="Times New Roman" w:hAnsi="Times New Roman" w:cs="Times New Roman"/>
      <w:color w:val="auto"/>
      <w:sz w:val="24"/>
      <w:szCs w:val="24"/>
      <w:lang w:eastAsia="en-US"/>
    </w:rPr>
  </w:style>
  <w:style w:type="character" w:customStyle="1" w:styleId="habitat">
    <w:name w:val="habitat"/>
    <w:semiHidden/>
    <w:rsid w:val="00123648"/>
    <w:rPr>
      <w:rFonts w:ascii="Arial" w:hAnsi="Arial" w:cs="Arial"/>
      <w:color w:val="000080"/>
      <w:sz w:val="20"/>
      <w:szCs w:val="20"/>
    </w:rPr>
  </w:style>
  <w:style w:type="paragraph" w:customStyle="1" w:styleId="default">
    <w:name w:val="default"/>
    <w:basedOn w:val="Normal"/>
    <w:rsid w:val="00D50030"/>
    <w:pPr>
      <w:autoSpaceDE w:val="0"/>
      <w:autoSpaceDN w:val="0"/>
    </w:pPr>
    <w:rPr>
      <w:rFonts w:eastAsia="Times New Roman" w:cs="Arial"/>
      <w:sz w:val="24"/>
      <w:szCs w:val="24"/>
      <w:lang w:eastAsia="en-US"/>
    </w:rPr>
  </w:style>
  <w:style w:type="character" w:styleId="Emphasis">
    <w:name w:val="Emphasis"/>
    <w:qFormat/>
    <w:rsid w:val="00E02E32"/>
    <w:rPr>
      <w:i/>
      <w:iCs/>
    </w:rPr>
  </w:style>
  <w:style w:type="character" w:customStyle="1" w:styleId="BodyTextChar">
    <w:name w:val="Body Text Char"/>
    <w:link w:val="BodyText"/>
    <w:rsid w:val="00DF72F3"/>
    <w:rPr>
      <w:rFonts w:ascii="Antique Olive" w:eastAsia="Times New Roman" w:hAnsi="Antique Olive" w:cs="Angsana New"/>
      <w:sz w:val="22"/>
      <w:szCs w:val="24"/>
      <w:lang w:bidi="he-IL"/>
    </w:rPr>
  </w:style>
  <w:style w:type="character" w:customStyle="1" w:styleId="FooterChar">
    <w:name w:val="Footer Char"/>
    <w:link w:val="Footer"/>
    <w:uiPriority w:val="99"/>
    <w:rsid w:val="00324879"/>
    <w:rPr>
      <w:rFonts w:ascii="Arial" w:hAnsi="Arial" w:cs="Arial Unicode MS"/>
      <w:i/>
      <w:color w:val="0000FF"/>
      <w:sz w:val="16"/>
      <w:szCs w:val="22"/>
      <w:lang w:eastAsia="ja-JP" w:bidi="ar-SA"/>
    </w:rPr>
  </w:style>
  <w:style w:type="paragraph" w:styleId="BalloonText">
    <w:name w:val="Balloon Text"/>
    <w:basedOn w:val="Normal"/>
    <w:link w:val="BalloonTextChar"/>
    <w:rsid w:val="00324879"/>
    <w:rPr>
      <w:rFonts w:ascii="Tahoma" w:hAnsi="Tahoma" w:cs="Tahoma"/>
      <w:sz w:val="16"/>
      <w:szCs w:val="16"/>
    </w:rPr>
  </w:style>
  <w:style w:type="character" w:customStyle="1" w:styleId="BalloonTextChar">
    <w:name w:val="Balloon Text Char"/>
    <w:link w:val="BalloonText"/>
    <w:rsid w:val="00324879"/>
    <w:rPr>
      <w:rFonts w:ascii="Tahoma" w:hAnsi="Tahoma" w:cs="Tahoma"/>
      <w:color w:val="000000"/>
      <w:sz w:val="16"/>
      <w:szCs w:val="16"/>
      <w:lang w:eastAsia="ja-JP" w:bidi="ar-SA"/>
    </w:rPr>
  </w:style>
  <w:style w:type="paragraph" w:styleId="PlainText">
    <w:name w:val="Plain Text"/>
    <w:basedOn w:val="Normal"/>
    <w:link w:val="PlainTextChar"/>
    <w:uiPriority w:val="99"/>
    <w:unhideWhenUsed/>
    <w:rsid w:val="0038258B"/>
    <w:rPr>
      <w:rFonts w:eastAsia="Calibri" w:cs="Cordia New"/>
      <w:color w:val="auto"/>
      <w:sz w:val="20"/>
      <w:szCs w:val="21"/>
      <w:lang w:eastAsia="en-US" w:bidi="th-TH"/>
    </w:rPr>
  </w:style>
  <w:style w:type="character" w:customStyle="1" w:styleId="PlainTextChar">
    <w:name w:val="Plain Text Char"/>
    <w:link w:val="PlainText"/>
    <w:uiPriority w:val="99"/>
    <w:rsid w:val="0038258B"/>
    <w:rPr>
      <w:rFonts w:ascii="Arial" w:eastAsia="Calibri" w:hAnsi="Arial" w:cs="Cordia New"/>
      <w:szCs w:val="21"/>
    </w:rPr>
  </w:style>
  <w:style w:type="paragraph" w:styleId="ListParagraph">
    <w:name w:val="List Paragraph"/>
    <w:aliases w:val="Paragraph,Párrafo de lista,List Paragraph 1,Resume Title,Citation List,heading 4,Aufzählung Spiegelstrich,ITC List Paragraph 1,List_Paragraph,Multilevel para_II,ADB Normal,List Paragraph (numbered (a)),Bullet Paragraph,ANNEX,Bullets,b1"/>
    <w:basedOn w:val="Normal"/>
    <w:link w:val="ListParagraphChar"/>
    <w:uiPriority w:val="1"/>
    <w:qFormat/>
    <w:rsid w:val="00870B8C"/>
    <w:pPr>
      <w:ind w:left="720"/>
    </w:pPr>
    <w:rPr>
      <w:rFonts w:ascii="Times New Roman" w:eastAsia="Calibri" w:hAnsi="Times New Roman" w:cs="Times New Roman"/>
      <w:color w:val="auto"/>
      <w:sz w:val="24"/>
      <w:szCs w:val="24"/>
      <w:lang w:eastAsia="en-US" w:bidi="th-TH"/>
    </w:rPr>
  </w:style>
  <w:style w:type="character" w:customStyle="1" w:styleId="apple-style-span">
    <w:name w:val="apple-style-span"/>
    <w:basedOn w:val="DefaultParagraphFont"/>
    <w:rsid w:val="00FA01EB"/>
  </w:style>
  <w:style w:type="character" w:customStyle="1" w:styleId="yshortcuts">
    <w:name w:val="yshortcuts"/>
    <w:rsid w:val="00337B43"/>
  </w:style>
  <w:style w:type="paragraph" w:styleId="NoSpacing">
    <w:name w:val="No Spacing"/>
    <w:uiPriority w:val="1"/>
    <w:qFormat/>
    <w:rsid w:val="00776019"/>
    <w:rPr>
      <w:rFonts w:ascii="Arial" w:hAnsi="Arial" w:cs="Arial Unicode MS"/>
      <w:color w:val="000000"/>
      <w:sz w:val="22"/>
      <w:szCs w:val="22"/>
      <w:lang w:eastAsia="ja-JP"/>
    </w:rPr>
  </w:style>
  <w:style w:type="paragraph" w:styleId="Closing">
    <w:name w:val="Closing"/>
    <w:basedOn w:val="Normal"/>
    <w:link w:val="ClosingChar"/>
    <w:uiPriority w:val="99"/>
    <w:unhideWhenUsed/>
    <w:rsid w:val="00776019"/>
    <w:pPr>
      <w:ind w:left="4320"/>
    </w:pPr>
  </w:style>
  <w:style w:type="character" w:customStyle="1" w:styleId="ClosingChar">
    <w:name w:val="Closing Char"/>
    <w:link w:val="Closing"/>
    <w:uiPriority w:val="99"/>
    <w:rsid w:val="00776019"/>
    <w:rPr>
      <w:rFonts w:ascii="Arial" w:hAnsi="Arial" w:cs="Arial Unicode MS"/>
      <w:color w:val="000000"/>
      <w:sz w:val="22"/>
      <w:szCs w:val="22"/>
      <w:lang w:eastAsia="ja-JP"/>
    </w:rPr>
  </w:style>
  <w:style w:type="table" w:styleId="TableGrid">
    <w:name w:val="Table Grid"/>
    <w:basedOn w:val="TableNormal"/>
    <w:uiPriority w:val="39"/>
    <w:rsid w:val="00137854"/>
    <w:rPr>
      <w:rFonts w:ascii="Calibri" w:eastAsia="Calibri" w:hAnsi="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noteText">
    <w:name w:val="footnote text"/>
    <w:basedOn w:val="Normal"/>
    <w:link w:val="FootnoteTextChar"/>
    <w:rsid w:val="00704158"/>
    <w:rPr>
      <w:sz w:val="20"/>
      <w:szCs w:val="20"/>
    </w:rPr>
  </w:style>
  <w:style w:type="character" w:customStyle="1" w:styleId="FootnoteTextChar">
    <w:name w:val="Footnote Text Char"/>
    <w:link w:val="FootnoteText"/>
    <w:rsid w:val="00704158"/>
    <w:rPr>
      <w:rFonts w:ascii="Arial" w:hAnsi="Arial" w:cs="Arial Unicode MS"/>
      <w:color w:val="000000"/>
      <w:lang w:eastAsia="ja-JP"/>
    </w:rPr>
  </w:style>
  <w:style w:type="character" w:styleId="FootnoteReference">
    <w:name w:val="footnote reference"/>
    <w:uiPriority w:val="99"/>
    <w:rsid w:val="00704158"/>
    <w:rPr>
      <w:vertAlign w:val="superscript"/>
    </w:rPr>
  </w:style>
  <w:style w:type="paragraph" w:styleId="CommentText">
    <w:name w:val="annotation text"/>
    <w:basedOn w:val="Normal"/>
    <w:link w:val="CommentTextChar"/>
    <w:rsid w:val="00734A51"/>
    <w:rPr>
      <w:rFonts w:cs="Times New Roman"/>
      <w:sz w:val="20"/>
      <w:szCs w:val="20"/>
      <w:lang w:val="x-none"/>
    </w:rPr>
  </w:style>
  <w:style w:type="character" w:customStyle="1" w:styleId="CommentTextChar">
    <w:name w:val="Comment Text Char"/>
    <w:link w:val="CommentText"/>
    <w:rsid w:val="00734A51"/>
    <w:rPr>
      <w:rFonts w:ascii="Arial" w:hAnsi="Arial"/>
      <w:color w:val="000000"/>
      <w:lang w:val="x-none" w:eastAsia="ja-JP"/>
    </w:rPr>
  </w:style>
  <w:style w:type="character" w:styleId="CommentReference">
    <w:name w:val="annotation reference"/>
    <w:rsid w:val="00443F64"/>
    <w:rPr>
      <w:sz w:val="16"/>
      <w:szCs w:val="16"/>
    </w:rPr>
  </w:style>
  <w:style w:type="paragraph" w:styleId="CommentSubject">
    <w:name w:val="annotation subject"/>
    <w:basedOn w:val="CommentText"/>
    <w:next w:val="CommentText"/>
    <w:link w:val="CommentSubjectChar"/>
    <w:rsid w:val="00443F64"/>
    <w:rPr>
      <w:rFonts w:cs="Arial Unicode MS"/>
      <w:b/>
      <w:bCs/>
      <w:lang w:val="en-US"/>
    </w:rPr>
  </w:style>
  <w:style w:type="character" w:customStyle="1" w:styleId="CommentSubjectChar">
    <w:name w:val="Comment Subject Char"/>
    <w:link w:val="CommentSubject"/>
    <w:rsid w:val="00443F64"/>
    <w:rPr>
      <w:rFonts w:ascii="Arial" w:hAnsi="Arial" w:cs="Arial Unicode MS"/>
      <w:b/>
      <w:bCs/>
      <w:color w:val="000000"/>
      <w:lang w:val="x-none" w:eastAsia="ja-JP"/>
    </w:rPr>
  </w:style>
  <w:style w:type="paragraph" w:styleId="Revision">
    <w:name w:val="Revision"/>
    <w:hidden/>
    <w:uiPriority w:val="99"/>
    <w:semiHidden/>
    <w:rsid w:val="005B5C60"/>
    <w:rPr>
      <w:rFonts w:ascii="Arial" w:hAnsi="Arial" w:cs="Arial Unicode MS"/>
      <w:color w:val="000000"/>
      <w:sz w:val="22"/>
      <w:szCs w:val="22"/>
      <w:lang w:eastAsia="ja-JP"/>
    </w:rPr>
  </w:style>
  <w:style w:type="character" w:customStyle="1" w:styleId="whitespace-normal">
    <w:name w:val="whitespace-normal"/>
    <w:basedOn w:val="DefaultParagraphFont"/>
    <w:rsid w:val="002C0F93"/>
  </w:style>
  <w:style w:type="character" w:customStyle="1" w:styleId="Heading3Char">
    <w:name w:val="Heading 3 Char"/>
    <w:basedOn w:val="DefaultParagraphFont"/>
    <w:link w:val="Heading3"/>
    <w:rsid w:val="008538EB"/>
    <w:rPr>
      <w:rFonts w:asciiTheme="majorHAnsi" w:eastAsiaTheme="majorEastAsia" w:hAnsiTheme="majorHAnsi" w:cstheme="majorBidi"/>
      <w:color w:val="0A2F40" w:themeColor="accent1" w:themeShade="7F"/>
      <w:sz w:val="24"/>
      <w:szCs w:val="24"/>
      <w:lang w:eastAsia="ja-JP"/>
    </w:rPr>
  </w:style>
  <w:style w:type="character" w:customStyle="1" w:styleId="ListParagraphChar">
    <w:name w:val="List Paragraph Char"/>
    <w:aliases w:val="Paragraph Char,Párrafo de lista Char,List Paragraph 1 Char,Resume Title Char,Citation List Char,heading 4 Char,Aufzählung Spiegelstrich Char,ITC List Paragraph 1 Char,List_Paragraph Char,Multilevel para_II Char,ADB Normal Char"/>
    <w:basedOn w:val="DefaultParagraphFont"/>
    <w:link w:val="ListParagraph"/>
    <w:uiPriority w:val="1"/>
    <w:qFormat/>
    <w:rsid w:val="00817F9F"/>
    <w:rPr>
      <w:rFonts w:eastAsia="Calibri"/>
      <w:sz w:val="24"/>
      <w:szCs w:val="24"/>
      <w:lang w:bidi="th-TH"/>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832208">
      <w:bodyDiv w:val="1"/>
      <w:marLeft w:val="0"/>
      <w:marRight w:val="0"/>
      <w:marTop w:val="0"/>
      <w:marBottom w:val="0"/>
      <w:divBdr>
        <w:top w:val="none" w:sz="0" w:space="0" w:color="auto"/>
        <w:left w:val="none" w:sz="0" w:space="0" w:color="auto"/>
        <w:bottom w:val="none" w:sz="0" w:space="0" w:color="auto"/>
        <w:right w:val="none" w:sz="0" w:space="0" w:color="auto"/>
      </w:divBdr>
    </w:div>
    <w:div w:id="65231232">
      <w:bodyDiv w:val="1"/>
      <w:marLeft w:val="0"/>
      <w:marRight w:val="0"/>
      <w:marTop w:val="0"/>
      <w:marBottom w:val="0"/>
      <w:divBdr>
        <w:top w:val="none" w:sz="0" w:space="0" w:color="auto"/>
        <w:left w:val="none" w:sz="0" w:space="0" w:color="auto"/>
        <w:bottom w:val="none" w:sz="0" w:space="0" w:color="auto"/>
        <w:right w:val="none" w:sz="0" w:space="0" w:color="auto"/>
      </w:divBdr>
    </w:div>
    <w:div w:id="88283529">
      <w:bodyDiv w:val="1"/>
      <w:marLeft w:val="0"/>
      <w:marRight w:val="0"/>
      <w:marTop w:val="0"/>
      <w:marBottom w:val="0"/>
      <w:divBdr>
        <w:top w:val="none" w:sz="0" w:space="0" w:color="auto"/>
        <w:left w:val="none" w:sz="0" w:space="0" w:color="auto"/>
        <w:bottom w:val="none" w:sz="0" w:space="0" w:color="auto"/>
        <w:right w:val="none" w:sz="0" w:space="0" w:color="auto"/>
      </w:divBdr>
    </w:div>
    <w:div w:id="216404434">
      <w:bodyDiv w:val="1"/>
      <w:marLeft w:val="0"/>
      <w:marRight w:val="0"/>
      <w:marTop w:val="0"/>
      <w:marBottom w:val="0"/>
      <w:divBdr>
        <w:top w:val="none" w:sz="0" w:space="0" w:color="auto"/>
        <w:left w:val="none" w:sz="0" w:space="0" w:color="auto"/>
        <w:bottom w:val="none" w:sz="0" w:space="0" w:color="auto"/>
        <w:right w:val="none" w:sz="0" w:space="0" w:color="auto"/>
      </w:divBdr>
    </w:div>
    <w:div w:id="228001568">
      <w:bodyDiv w:val="1"/>
      <w:marLeft w:val="0"/>
      <w:marRight w:val="0"/>
      <w:marTop w:val="0"/>
      <w:marBottom w:val="0"/>
      <w:divBdr>
        <w:top w:val="none" w:sz="0" w:space="0" w:color="auto"/>
        <w:left w:val="none" w:sz="0" w:space="0" w:color="auto"/>
        <w:bottom w:val="none" w:sz="0" w:space="0" w:color="auto"/>
        <w:right w:val="none" w:sz="0" w:space="0" w:color="auto"/>
      </w:divBdr>
    </w:div>
    <w:div w:id="241649489">
      <w:bodyDiv w:val="1"/>
      <w:marLeft w:val="0"/>
      <w:marRight w:val="0"/>
      <w:marTop w:val="0"/>
      <w:marBottom w:val="0"/>
      <w:divBdr>
        <w:top w:val="none" w:sz="0" w:space="0" w:color="auto"/>
        <w:left w:val="none" w:sz="0" w:space="0" w:color="auto"/>
        <w:bottom w:val="none" w:sz="0" w:space="0" w:color="auto"/>
        <w:right w:val="none" w:sz="0" w:space="0" w:color="auto"/>
      </w:divBdr>
    </w:div>
    <w:div w:id="315299722">
      <w:bodyDiv w:val="1"/>
      <w:marLeft w:val="0"/>
      <w:marRight w:val="0"/>
      <w:marTop w:val="0"/>
      <w:marBottom w:val="0"/>
      <w:divBdr>
        <w:top w:val="none" w:sz="0" w:space="0" w:color="auto"/>
        <w:left w:val="none" w:sz="0" w:space="0" w:color="auto"/>
        <w:bottom w:val="none" w:sz="0" w:space="0" w:color="auto"/>
        <w:right w:val="none" w:sz="0" w:space="0" w:color="auto"/>
      </w:divBdr>
    </w:div>
    <w:div w:id="337192899">
      <w:bodyDiv w:val="1"/>
      <w:marLeft w:val="0"/>
      <w:marRight w:val="0"/>
      <w:marTop w:val="0"/>
      <w:marBottom w:val="0"/>
      <w:divBdr>
        <w:top w:val="none" w:sz="0" w:space="0" w:color="auto"/>
        <w:left w:val="none" w:sz="0" w:space="0" w:color="auto"/>
        <w:bottom w:val="none" w:sz="0" w:space="0" w:color="auto"/>
        <w:right w:val="none" w:sz="0" w:space="0" w:color="auto"/>
      </w:divBdr>
    </w:div>
    <w:div w:id="440996858">
      <w:bodyDiv w:val="1"/>
      <w:marLeft w:val="0"/>
      <w:marRight w:val="0"/>
      <w:marTop w:val="0"/>
      <w:marBottom w:val="0"/>
      <w:divBdr>
        <w:top w:val="none" w:sz="0" w:space="0" w:color="auto"/>
        <w:left w:val="none" w:sz="0" w:space="0" w:color="auto"/>
        <w:bottom w:val="none" w:sz="0" w:space="0" w:color="auto"/>
        <w:right w:val="none" w:sz="0" w:space="0" w:color="auto"/>
      </w:divBdr>
    </w:div>
    <w:div w:id="443886109">
      <w:bodyDiv w:val="1"/>
      <w:marLeft w:val="0"/>
      <w:marRight w:val="0"/>
      <w:marTop w:val="0"/>
      <w:marBottom w:val="0"/>
      <w:divBdr>
        <w:top w:val="none" w:sz="0" w:space="0" w:color="auto"/>
        <w:left w:val="none" w:sz="0" w:space="0" w:color="auto"/>
        <w:bottom w:val="none" w:sz="0" w:space="0" w:color="auto"/>
        <w:right w:val="none" w:sz="0" w:space="0" w:color="auto"/>
      </w:divBdr>
    </w:div>
    <w:div w:id="448358093">
      <w:bodyDiv w:val="1"/>
      <w:marLeft w:val="0"/>
      <w:marRight w:val="0"/>
      <w:marTop w:val="0"/>
      <w:marBottom w:val="0"/>
      <w:divBdr>
        <w:top w:val="none" w:sz="0" w:space="0" w:color="auto"/>
        <w:left w:val="none" w:sz="0" w:space="0" w:color="auto"/>
        <w:bottom w:val="none" w:sz="0" w:space="0" w:color="auto"/>
        <w:right w:val="none" w:sz="0" w:space="0" w:color="auto"/>
      </w:divBdr>
    </w:div>
    <w:div w:id="482355875">
      <w:bodyDiv w:val="1"/>
      <w:marLeft w:val="0"/>
      <w:marRight w:val="0"/>
      <w:marTop w:val="0"/>
      <w:marBottom w:val="0"/>
      <w:divBdr>
        <w:top w:val="none" w:sz="0" w:space="0" w:color="auto"/>
        <w:left w:val="none" w:sz="0" w:space="0" w:color="auto"/>
        <w:bottom w:val="none" w:sz="0" w:space="0" w:color="auto"/>
        <w:right w:val="none" w:sz="0" w:space="0" w:color="auto"/>
      </w:divBdr>
    </w:div>
    <w:div w:id="559361403">
      <w:bodyDiv w:val="1"/>
      <w:marLeft w:val="0"/>
      <w:marRight w:val="0"/>
      <w:marTop w:val="0"/>
      <w:marBottom w:val="0"/>
      <w:divBdr>
        <w:top w:val="none" w:sz="0" w:space="0" w:color="auto"/>
        <w:left w:val="none" w:sz="0" w:space="0" w:color="auto"/>
        <w:bottom w:val="none" w:sz="0" w:space="0" w:color="auto"/>
        <w:right w:val="none" w:sz="0" w:space="0" w:color="auto"/>
      </w:divBdr>
      <w:divsChild>
        <w:div w:id="24328476">
          <w:marLeft w:val="0"/>
          <w:marRight w:val="0"/>
          <w:marTop w:val="0"/>
          <w:marBottom w:val="0"/>
          <w:divBdr>
            <w:top w:val="none" w:sz="0" w:space="0" w:color="auto"/>
            <w:left w:val="none" w:sz="0" w:space="0" w:color="auto"/>
            <w:bottom w:val="none" w:sz="0" w:space="0" w:color="auto"/>
            <w:right w:val="none" w:sz="0" w:space="0" w:color="auto"/>
          </w:divBdr>
        </w:div>
        <w:div w:id="50688786">
          <w:marLeft w:val="0"/>
          <w:marRight w:val="0"/>
          <w:marTop w:val="0"/>
          <w:marBottom w:val="0"/>
          <w:divBdr>
            <w:top w:val="none" w:sz="0" w:space="0" w:color="auto"/>
            <w:left w:val="none" w:sz="0" w:space="0" w:color="auto"/>
            <w:bottom w:val="none" w:sz="0" w:space="0" w:color="auto"/>
            <w:right w:val="none" w:sz="0" w:space="0" w:color="auto"/>
          </w:divBdr>
        </w:div>
        <w:div w:id="426192737">
          <w:marLeft w:val="0"/>
          <w:marRight w:val="0"/>
          <w:marTop w:val="0"/>
          <w:marBottom w:val="0"/>
          <w:divBdr>
            <w:top w:val="none" w:sz="0" w:space="0" w:color="auto"/>
            <w:left w:val="none" w:sz="0" w:space="0" w:color="auto"/>
            <w:bottom w:val="none" w:sz="0" w:space="0" w:color="auto"/>
            <w:right w:val="none" w:sz="0" w:space="0" w:color="auto"/>
          </w:divBdr>
        </w:div>
        <w:div w:id="1127507726">
          <w:marLeft w:val="0"/>
          <w:marRight w:val="0"/>
          <w:marTop w:val="0"/>
          <w:marBottom w:val="0"/>
          <w:divBdr>
            <w:top w:val="none" w:sz="0" w:space="0" w:color="auto"/>
            <w:left w:val="none" w:sz="0" w:space="0" w:color="auto"/>
            <w:bottom w:val="none" w:sz="0" w:space="0" w:color="auto"/>
            <w:right w:val="none" w:sz="0" w:space="0" w:color="auto"/>
          </w:divBdr>
        </w:div>
      </w:divsChild>
    </w:div>
    <w:div w:id="564995195">
      <w:bodyDiv w:val="1"/>
      <w:marLeft w:val="0"/>
      <w:marRight w:val="0"/>
      <w:marTop w:val="0"/>
      <w:marBottom w:val="0"/>
      <w:divBdr>
        <w:top w:val="none" w:sz="0" w:space="0" w:color="auto"/>
        <w:left w:val="none" w:sz="0" w:space="0" w:color="auto"/>
        <w:bottom w:val="none" w:sz="0" w:space="0" w:color="auto"/>
        <w:right w:val="none" w:sz="0" w:space="0" w:color="auto"/>
      </w:divBdr>
    </w:div>
    <w:div w:id="573466012">
      <w:bodyDiv w:val="1"/>
      <w:marLeft w:val="0"/>
      <w:marRight w:val="0"/>
      <w:marTop w:val="0"/>
      <w:marBottom w:val="0"/>
      <w:divBdr>
        <w:top w:val="none" w:sz="0" w:space="0" w:color="auto"/>
        <w:left w:val="none" w:sz="0" w:space="0" w:color="auto"/>
        <w:bottom w:val="none" w:sz="0" w:space="0" w:color="auto"/>
        <w:right w:val="none" w:sz="0" w:space="0" w:color="auto"/>
      </w:divBdr>
    </w:div>
    <w:div w:id="581068160">
      <w:bodyDiv w:val="1"/>
      <w:marLeft w:val="0"/>
      <w:marRight w:val="0"/>
      <w:marTop w:val="0"/>
      <w:marBottom w:val="0"/>
      <w:divBdr>
        <w:top w:val="none" w:sz="0" w:space="0" w:color="auto"/>
        <w:left w:val="none" w:sz="0" w:space="0" w:color="auto"/>
        <w:bottom w:val="none" w:sz="0" w:space="0" w:color="auto"/>
        <w:right w:val="none" w:sz="0" w:space="0" w:color="auto"/>
      </w:divBdr>
    </w:div>
    <w:div w:id="699627455">
      <w:bodyDiv w:val="1"/>
      <w:marLeft w:val="0"/>
      <w:marRight w:val="0"/>
      <w:marTop w:val="0"/>
      <w:marBottom w:val="0"/>
      <w:divBdr>
        <w:top w:val="none" w:sz="0" w:space="0" w:color="auto"/>
        <w:left w:val="none" w:sz="0" w:space="0" w:color="auto"/>
        <w:bottom w:val="none" w:sz="0" w:space="0" w:color="auto"/>
        <w:right w:val="none" w:sz="0" w:space="0" w:color="auto"/>
      </w:divBdr>
    </w:div>
    <w:div w:id="750540644">
      <w:bodyDiv w:val="1"/>
      <w:marLeft w:val="0"/>
      <w:marRight w:val="0"/>
      <w:marTop w:val="0"/>
      <w:marBottom w:val="0"/>
      <w:divBdr>
        <w:top w:val="none" w:sz="0" w:space="0" w:color="auto"/>
        <w:left w:val="none" w:sz="0" w:space="0" w:color="auto"/>
        <w:bottom w:val="none" w:sz="0" w:space="0" w:color="auto"/>
        <w:right w:val="none" w:sz="0" w:space="0" w:color="auto"/>
      </w:divBdr>
    </w:div>
    <w:div w:id="859011636">
      <w:bodyDiv w:val="1"/>
      <w:marLeft w:val="0"/>
      <w:marRight w:val="0"/>
      <w:marTop w:val="0"/>
      <w:marBottom w:val="0"/>
      <w:divBdr>
        <w:top w:val="none" w:sz="0" w:space="0" w:color="auto"/>
        <w:left w:val="none" w:sz="0" w:space="0" w:color="auto"/>
        <w:bottom w:val="none" w:sz="0" w:space="0" w:color="auto"/>
        <w:right w:val="none" w:sz="0" w:space="0" w:color="auto"/>
      </w:divBdr>
    </w:div>
    <w:div w:id="893470934">
      <w:bodyDiv w:val="1"/>
      <w:marLeft w:val="0"/>
      <w:marRight w:val="0"/>
      <w:marTop w:val="0"/>
      <w:marBottom w:val="0"/>
      <w:divBdr>
        <w:top w:val="none" w:sz="0" w:space="0" w:color="auto"/>
        <w:left w:val="none" w:sz="0" w:space="0" w:color="auto"/>
        <w:bottom w:val="none" w:sz="0" w:space="0" w:color="auto"/>
        <w:right w:val="none" w:sz="0" w:space="0" w:color="auto"/>
      </w:divBdr>
    </w:div>
    <w:div w:id="948582240">
      <w:bodyDiv w:val="1"/>
      <w:marLeft w:val="0"/>
      <w:marRight w:val="0"/>
      <w:marTop w:val="0"/>
      <w:marBottom w:val="0"/>
      <w:divBdr>
        <w:top w:val="none" w:sz="0" w:space="0" w:color="auto"/>
        <w:left w:val="none" w:sz="0" w:space="0" w:color="auto"/>
        <w:bottom w:val="none" w:sz="0" w:space="0" w:color="auto"/>
        <w:right w:val="none" w:sz="0" w:space="0" w:color="auto"/>
      </w:divBdr>
    </w:div>
    <w:div w:id="1041705705">
      <w:bodyDiv w:val="1"/>
      <w:marLeft w:val="0"/>
      <w:marRight w:val="0"/>
      <w:marTop w:val="0"/>
      <w:marBottom w:val="0"/>
      <w:divBdr>
        <w:top w:val="none" w:sz="0" w:space="0" w:color="auto"/>
        <w:left w:val="none" w:sz="0" w:space="0" w:color="auto"/>
        <w:bottom w:val="none" w:sz="0" w:space="0" w:color="auto"/>
        <w:right w:val="none" w:sz="0" w:space="0" w:color="auto"/>
      </w:divBdr>
    </w:div>
    <w:div w:id="1157964489">
      <w:bodyDiv w:val="1"/>
      <w:marLeft w:val="0"/>
      <w:marRight w:val="0"/>
      <w:marTop w:val="0"/>
      <w:marBottom w:val="0"/>
      <w:divBdr>
        <w:top w:val="none" w:sz="0" w:space="0" w:color="auto"/>
        <w:left w:val="none" w:sz="0" w:space="0" w:color="auto"/>
        <w:bottom w:val="none" w:sz="0" w:space="0" w:color="auto"/>
        <w:right w:val="none" w:sz="0" w:space="0" w:color="auto"/>
      </w:divBdr>
    </w:div>
    <w:div w:id="1260261854">
      <w:bodyDiv w:val="1"/>
      <w:marLeft w:val="0"/>
      <w:marRight w:val="0"/>
      <w:marTop w:val="0"/>
      <w:marBottom w:val="0"/>
      <w:divBdr>
        <w:top w:val="none" w:sz="0" w:space="0" w:color="auto"/>
        <w:left w:val="none" w:sz="0" w:space="0" w:color="auto"/>
        <w:bottom w:val="none" w:sz="0" w:space="0" w:color="auto"/>
        <w:right w:val="none" w:sz="0" w:space="0" w:color="auto"/>
      </w:divBdr>
    </w:div>
    <w:div w:id="1270508651">
      <w:bodyDiv w:val="1"/>
      <w:marLeft w:val="0"/>
      <w:marRight w:val="0"/>
      <w:marTop w:val="0"/>
      <w:marBottom w:val="0"/>
      <w:divBdr>
        <w:top w:val="none" w:sz="0" w:space="0" w:color="auto"/>
        <w:left w:val="none" w:sz="0" w:space="0" w:color="auto"/>
        <w:bottom w:val="none" w:sz="0" w:space="0" w:color="auto"/>
        <w:right w:val="none" w:sz="0" w:space="0" w:color="auto"/>
      </w:divBdr>
    </w:div>
    <w:div w:id="1277978602">
      <w:bodyDiv w:val="1"/>
      <w:marLeft w:val="0"/>
      <w:marRight w:val="0"/>
      <w:marTop w:val="0"/>
      <w:marBottom w:val="0"/>
      <w:divBdr>
        <w:top w:val="none" w:sz="0" w:space="0" w:color="auto"/>
        <w:left w:val="none" w:sz="0" w:space="0" w:color="auto"/>
        <w:bottom w:val="none" w:sz="0" w:space="0" w:color="auto"/>
        <w:right w:val="none" w:sz="0" w:space="0" w:color="auto"/>
      </w:divBdr>
    </w:div>
    <w:div w:id="1308243980">
      <w:bodyDiv w:val="1"/>
      <w:marLeft w:val="0"/>
      <w:marRight w:val="0"/>
      <w:marTop w:val="0"/>
      <w:marBottom w:val="0"/>
      <w:divBdr>
        <w:top w:val="none" w:sz="0" w:space="0" w:color="auto"/>
        <w:left w:val="none" w:sz="0" w:space="0" w:color="auto"/>
        <w:bottom w:val="none" w:sz="0" w:space="0" w:color="auto"/>
        <w:right w:val="none" w:sz="0" w:space="0" w:color="auto"/>
      </w:divBdr>
    </w:div>
    <w:div w:id="1309238570">
      <w:bodyDiv w:val="1"/>
      <w:marLeft w:val="0"/>
      <w:marRight w:val="0"/>
      <w:marTop w:val="0"/>
      <w:marBottom w:val="0"/>
      <w:divBdr>
        <w:top w:val="none" w:sz="0" w:space="0" w:color="auto"/>
        <w:left w:val="none" w:sz="0" w:space="0" w:color="auto"/>
        <w:bottom w:val="none" w:sz="0" w:space="0" w:color="auto"/>
        <w:right w:val="none" w:sz="0" w:space="0" w:color="auto"/>
      </w:divBdr>
    </w:div>
    <w:div w:id="1385062705">
      <w:bodyDiv w:val="1"/>
      <w:marLeft w:val="0"/>
      <w:marRight w:val="0"/>
      <w:marTop w:val="0"/>
      <w:marBottom w:val="0"/>
      <w:divBdr>
        <w:top w:val="none" w:sz="0" w:space="0" w:color="auto"/>
        <w:left w:val="none" w:sz="0" w:space="0" w:color="auto"/>
        <w:bottom w:val="none" w:sz="0" w:space="0" w:color="auto"/>
        <w:right w:val="none" w:sz="0" w:space="0" w:color="auto"/>
      </w:divBdr>
    </w:div>
    <w:div w:id="1478645176">
      <w:bodyDiv w:val="1"/>
      <w:marLeft w:val="0"/>
      <w:marRight w:val="0"/>
      <w:marTop w:val="0"/>
      <w:marBottom w:val="0"/>
      <w:divBdr>
        <w:top w:val="none" w:sz="0" w:space="0" w:color="auto"/>
        <w:left w:val="none" w:sz="0" w:space="0" w:color="auto"/>
        <w:bottom w:val="none" w:sz="0" w:space="0" w:color="auto"/>
        <w:right w:val="none" w:sz="0" w:space="0" w:color="auto"/>
      </w:divBdr>
    </w:div>
    <w:div w:id="1486629788">
      <w:bodyDiv w:val="1"/>
      <w:marLeft w:val="0"/>
      <w:marRight w:val="0"/>
      <w:marTop w:val="0"/>
      <w:marBottom w:val="0"/>
      <w:divBdr>
        <w:top w:val="none" w:sz="0" w:space="0" w:color="auto"/>
        <w:left w:val="none" w:sz="0" w:space="0" w:color="auto"/>
        <w:bottom w:val="none" w:sz="0" w:space="0" w:color="auto"/>
        <w:right w:val="none" w:sz="0" w:space="0" w:color="auto"/>
      </w:divBdr>
    </w:div>
    <w:div w:id="1488211132">
      <w:bodyDiv w:val="1"/>
      <w:marLeft w:val="0"/>
      <w:marRight w:val="0"/>
      <w:marTop w:val="0"/>
      <w:marBottom w:val="0"/>
      <w:divBdr>
        <w:top w:val="none" w:sz="0" w:space="0" w:color="auto"/>
        <w:left w:val="none" w:sz="0" w:space="0" w:color="auto"/>
        <w:bottom w:val="none" w:sz="0" w:space="0" w:color="auto"/>
        <w:right w:val="none" w:sz="0" w:space="0" w:color="auto"/>
      </w:divBdr>
    </w:div>
    <w:div w:id="1602375824">
      <w:bodyDiv w:val="1"/>
      <w:marLeft w:val="0"/>
      <w:marRight w:val="0"/>
      <w:marTop w:val="0"/>
      <w:marBottom w:val="0"/>
      <w:divBdr>
        <w:top w:val="none" w:sz="0" w:space="0" w:color="auto"/>
        <w:left w:val="none" w:sz="0" w:space="0" w:color="auto"/>
        <w:bottom w:val="none" w:sz="0" w:space="0" w:color="auto"/>
        <w:right w:val="none" w:sz="0" w:space="0" w:color="auto"/>
      </w:divBdr>
    </w:div>
    <w:div w:id="1723366613">
      <w:bodyDiv w:val="1"/>
      <w:marLeft w:val="0"/>
      <w:marRight w:val="0"/>
      <w:marTop w:val="0"/>
      <w:marBottom w:val="0"/>
      <w:divBdr>
        <w:top w:val="none" w:sz="0" w:space="0" w:color="auto"/>
        <w:left w:val="none" w:sz="0" w:space="0" w:color="auto"/>
        <w:bottom w:val="none" w:sz="0" w:space="0" w:color="auto"/>
        <w:right w:val="none" w:sz="0" w:space="0" w:color="auto"/>
      </w:divBdr>
    </w:div>
    <w:div w:id="1729524871">
      <w:bodyDiv w:val="1"/>
      <w:marLeft w:val="0"/>
      <w:marRight w:val="0"/>
      <w:marTop w:val="0"/>
      <w:marBottom w:val="0"/>
      <w:divBdr>
        <w:top w:val="none" w:sz="0" w:space="0" w:color="auto"/>
        <w:left w:val="none" w:sz="0" w:space="0" w:color="auto"/>
        <w:bottom w:val="none" w:sz="0" w:space="0" w:color="auto"/>
        <w:right w:val="none" w:sz="0" w:space="0" w:color="auto"/>
      </w:divBdr>
    </w:div>
    <w:div w:id="1749038430">
      <w:bodyDiv w:val="1"/>
      <w:marLeft w:val="0"/>
      <w:marRight w:val="0"/>
      <w:marTop w:val="0"/>
      <w:marBottom w:val="0"/>
      <w:divBdr>
        <w:top w:val="none" w:sz="0" w:space="0" w:color="auto"/>
        <w:left w:val="none" w:sz="0" w:space="0" w:color="auto"/>
        <w:bottom w:val="none" w:sz="0" w:space="0" w:color="auto"/>
        <w:right w:val="none" w:sz="0" w:space="0" w:color="auto"/>
      </w:divBdr>
    </w:div>
    <w:div w:id="1847743200">
      <w:bodyDiv w:val="1"/>
      <w:marLeft w:val="0"/>
      <w:marRight w:val="0"/>
      <w:marTop w:val="0"/>
      <w:marBottom w:val="0"/>
      <w:divBdr>
        <w:top w:val="none" w:sz="0" w:space="0" w:color="auto"/>
        <w:left w:val="none" w:sz="0" w:space="0" w:color="auto"/>
        <w:bottom w:val="none" w:sz="0" w:space="0" w:color="auto"/>
        <w:right w:val="none" w:sz="0" w:space="0" w:color="auto"/>
      </w:divBdr>
    </w:div>
    <w:div w:id="1925070310">
      <w:bodyDiv w:val="1"/>
      <w:marLeft w:val="0"/>
      <w:marRight w:val="0"/>
      <w:marTop w:val="0"/>
      <w:marBottom w:val="0"/>
      <w:divBdr>
        <w:top w:val="none" w:sz="0" w:space="0" w:color="auto"/>
        <w:left w:val="none" w:sz="0" w:space="0" w:color="auto"/>
        <w:bottom w:val="none" w:sz="0" w:space="0" w:color="auto"/>
        <w:right w:val="none" w:sz="0" w:space="0" w:color="auto"/>
      </w:divBdr>
    </w:div>
    <w:div w:id="1956792261">
      <w:bodyDiv w:val="1"/>
      <w:marLeft w:val="0"/>
      <w:marRight w:val="0"/>
      <w:marTop w:val="0"/>
      <w:marBottom w:val="0"/>
      <w:divBdr>
        <w:top w:val="none" w:sz="0" w:space="0" w:color="auto"/>
        <w:left w:val="none" w:sz="0" w:space="0" w:color="auto"/>
        <w:bottom w:val="none" w:sz="0" w:space="0" w:color="auto"/>
        <w:right w:val="none" w:sz="0" w:space="0" w:color="auto"/>
      </w:divBdr>
    </w:div>
    <w:div w:id="1977952019">
      <w:bodyDiv w:val="1"/>
      <w:marLeft w:val="0"/>
      <w:marRight w:val="0"/>
      <w:marTop w:val="0"/>
      <w:marBottom w:val="0"/>
      <w:divBdr>
        <w:top w:val="none" w:sz="0" w:space="0" w:color="auto"/>
        <w:left w:val="none" w:sz="0" w:space="0" w:color="auto"/>
        <w:bottom w:val="none" w:sz="0" w:space="0" w:color="auto"/>
        <w:right w:val="none" w:sz="0" w:space="0" w:color="auto"/>
      </w:divBdr>
    </w:div>
    <w:div w:id="1981576355">
      <w:bodyDiv w:val="1"/>
      <w:marLeft w:val="0"/>
      <w:marRight w:val="0"/>
      <w:marTop w:val="0"/>
      <w:marBottom w:val="0"/>
      <w:divBdr>
        <w:top w:val="none" w:sz="0" w:space="0" w:color="auto"/>
        <w:left w:val="none" w:sz="0" w:space="0" w:color="auto"/>
        <w:bottom w:val="none" w:sz="0" w:space="0" w:color="auto"/>
        <w:right w:val="none" w:sz="0" w:space="0" w:color="auto"/>
      </w:divBdr>
    </w:div>
    <w:div w:id="206517600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yperlink" Target="mailto:procurement@habitatbangladesh.org"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fontTable" Target="fontTable.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040BDE4CFD14141A93DF19BAD96B63A" ma:contentTypeVersion="14" ma:contentTypeDescription="Create a new document." ma:contentTypeScope="" ma:versionID="db4f6ae48c7cc12b53001d47cbd14f6a">
  <xsd:schema xmlns:xsd="http://www.w3.org/2001/XMLSchema" xmlns:xs="http://www.w3.org/2001/XMLSchema" xmlns:p="http://schemas.microsoft.com/office/2006/metadata/properties" xmlns:ns2="519ac703-dfe5-4501-b018-fd78a5369b6b" xmlns:ns3="ac94b3b2-e0c5-48d0-b9b2-488c4b5bf209" targetNamespace="http://schemas.microsoft.com/office/2006/metadata/properties" ma:root="true" ma:fieldsID="8ff0bac4b783ed3b17fee63346048d5d" ns2:_="" ns3:_="">
    <xsd:import namespace="519ac703-dfe5-4501-b018-fd78a5369b6b"/>
    <xsd:import namespace="ac94b3b2-e0c5-48d0-b9b2-488c4b5bf20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Themes"/>
                <xsd:element ref="ns2:lcf76f155ced4ddcb4097134ff3c332f" minOccurs="0"/>
                <xsd:element ref="ns3:TaxCatchAll" minOccurs="0"/>
                <xsd:element ref="ns2:MediaServiceGenerationTime" minOccurs="0"/>
                <xsd:element ref="ns2:MediaServiceEventHashCode"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19ac703-dfe5-4501-b018-fd78a5369b6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Themes" ma:index="13" ma:displayName="Themes" ma:format="Dropdown" ma:internalName="Themes">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81a6662c-16b3-437a-8923-55b9474192d6" ma:termSetId="09814cd3-568e-fe90-9814-8d621ff8fb84" ma:anchorId="fba54fb3-c3e1-fe81-a776-ca4b69148c4d" ma:open="true" ma:isKeyword="false">
      <xsd:complexType>
        <xsd:sequence>
          <xsd:element ref="pc:Terms" minOccurs="0" maxOccurs="1"/>
        </xsd:sequence>
      </xsd:complex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LengthInSeconds" ma:index="19" nillable="true" ma:displayName="MediaLengthInSeconds" ma:hidden="true"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c94b3b2-e0c5-48d0-b9b2-488c4b5bf209"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49ad45d8-b4e5-41d6-9199-463217a66173}" ma:internalName="TaxCatchAll" ma:showField="CatchAllData" ma:web="ac94b3b2-e0c5-48d0-b9b2-488c4b5bf209">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lcf76f155ced4ddcb4097134ff3c332f xmlns="519ac703-dfe5-4501-b018-fd78a5369b6b">
      <Terms xmlns="http://schemas.microsoft.com/office/infopath/2007/PartnerControls"/>
    </lcf76f155ced4ddcb4097134ff3c332f>
    <Themes xmlns="519ac703-dfe5-4501-b018-fd78a5369b6b"/>
    <TaxCatchAll xmlns="ac94b3b2-e0c5-48d0-b9b2-488c4b5bf209"/>
  </documentManagement>
</p:properties>
</file>

<file path=customXml/itemProps1.xml><?xml version="1.0" encoding="utf-8"?>
<ds:datastoreItem xmlns:ds="http://schemas.openxmlformats.org/officeDocument/2006/customXml" ds:itemID="{A3856318-8528-49DE-B2C8-288771DD23E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19ac703-dfe5-4501-b018-fd78a5369b6b"/>
    <ds:schemaRef ds:uri="ac94b3b2-e0c5-48d0-b9b2-488c4b5bf20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4C917895-8FDD-4280-B207-F2E40A934650}">
  <ds:schemaRefs>
    <ds:schemaRef ds:uri="http://schemas.microsoft.com/office/2006/metadata/longProperties"/>
  </ds:schemaRefs>
</ds:datastoreItem>
</file>

<file path=customXml/itemProps3.xml><?xml version="1.0" encoding="utf-8"?>
<ds:datastoreItem xmlns:ds="http://schemas.openxmlformats.org/officeDocument/2006/customXml" ds:itemID="{1A47F8A8-57DA-4591-9202-1C39B8080CBE}">
  <ds:schemaRefs>
    <ds:schemaRef ds:uri="http://schemas.openxmlformats.org/officeDocument/2006/bibliography"/>
  </ds:schemaRefs>
</ds:datastoreItem>
</file>

<file path=customXml/itemProps4.xml><?xml version="1.0" encoding="utf-8"?>
<ds:datastoreItem xmlns:ds="http://schemas.openxmlformats.org/officeDocument/2006/customXml" ds:itemID="{D448B7EC-6AEF-4AC3-9476-533D8EA26E8C}">
  <ds:schemaRefs>
    <ds:schemaRef ds:uri="http://schemas.microsoft.com/sharepoint/v3/contenttype/forms"/>
  </ds:schemaRefs>
</ds:datastoreItem>
</file>

<file path=customXml/itemProps5.xml><?xml version="1.0" encoding="utf-8"?>
<ds:datastoreItem xmlns:ds="http://schemas.openxmlformats.org/officeDocument/2006/customXml" ds:itemID="{DF07D8D2-2691-465D-BF9C-A4D6A18C87A8}">
  <ds:schemaRefs>
    <ds:schemaRef ds:uri="http://schemas.microsoft.com/office/2006/metadata/properties"/>
    <ds:schemaRef ds:uri="http://schemas.microsoft.com/office/infopath/2007/PartnerControls"/>
    <ds:schemaRef ds:uri="519ac703-dfe5-4501-b018-fd78a5369b6b"/>
    <ds:schemaRef ds:uri="ac94b3b2-e0c5-48d0-b9b2-488c4b5bf209"/>
  </ds:schemaRefs>
</ds:datastoreItem>
</file>

<file path=docProps/app.xml><?xml version="1.0" encoding="utf-8"?>
<Properties xmlns="http://schemas.openxmlformats.org/officeDocument/2006/extended-properties" xmlns:vt="http://schemas.openxmlformats.org/officeDocument/2006/docPropsVTypes">
  <Template>Normal</Template>
  <TotalTime>530</TotalTime>
  <Pages>14</Pages>
  <Words>6131</Words>
  <Characters>34948</Characters>
  <Application>Microsoft Office Word</Application>
  <DocSecurity>0</DocSecurity>
  <Lines>291</Lines>
  <Paragraphs>81</Paragraphs>
  <ScaleCrop>false</ScaleCrop>
  <HeadingPairs>
    <vt:vector size="4" baseType="variant">
      <vt:variant>
        <vt:lpstr>Title</vt:lpstr>
      </vt:variant>
      <vt:variant>
        <vt:i4>1</vt:i4>
      </vt:variant>
      <vt:variant>
        <vt:lpstr>제목</vt:lpstr>
      </vt:variant>
      <vt:variant>
        <vt:i4>1</vt:i4>
      </vt:variant>
    </vt:vector>
  </HeadingPairs>
  <TitlesOfParts>
    <vt:vector size="2" baseType="lpstr">
      <vt:lpstr>Habitat Home Partners</vt:lpstr>
      <vt:lpstr>Habitat Home Partners</vt:lpstr>
    </vt:vector>
  </TitlesOfParts>
  <Company/>
  <LinksUpToDate>false</LinksUpToDate>
  <CharactersWithSpaces>40998</CharactersWithSpaces>
  <SharedDoc>false</SharedDoc>
  <HLinks>
    <vt:vector size="6" baseType="variant">
      <vt:variant>
        <vt:i4>1310760</vt:i4>
      </vt:variant>
      <vt:variant>
        <vt:i4>0</vt:i4>
      </vt:variant>
      <vt:variant>
        <vt:i4>0</vt:i4>
      </vt:variant>
      <vt:variant>
        <vt:i4>5</vt:i4>
      </vt:variant>
      <vt:variant>
        <vt:lpwstr>mailto:procurement@habitatbangladesh.org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Habitat Home Partners</dc:title>
  <dc:subject/>
  <dc:creator>Test</dc:creator>
  <cp:keywords/>
  <cp:lastModifiedBy>Homyra Islam</cp:lastModifiedBy>
  <cp:revision>135</cp:revision>
  <cp:lastPrinted>2025-09-10T03:53:00Z</cp:lastPrinted>
  <dcterms:created xsi:type="dcterms:W3CDTF">2026-05-18T07:22:00Z</dcterms:created>
  <dcterms:modified xsi:type="dcterms:W3CDTF">2026-05-21T08:51:00Z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lpwstr>337400.000000000</vt:lpwstr>
  </property>
  <property fmtid="{D5CDD505-2E9C-101B-9397-08002B2CF9AE}" pid="3" name="_dlc_DocId">
    <vt:lpwstr>FH2U77ACRMHP-1962546955-46346</vt:lpwstr>
  </property>
  <property fmtid="{D5CDD505-2E9C-101B-9397-08002B2CF9AE}" pid="4" name="_dlc_DocIdItemGuid">
    <vt:lpwstr>f67d6117-1477-4431-be10-120d67509d29</vt:lpwstr>
  </property>
  <property fmtid="{D5CDD505-2E9C-101B-9397-08002B2CF9AE}" pid="5" name="_dlc_DocIdUrl">
    <vt:lpwstr>https://habitataus.sharepoint.com/sites/CommonShares/_layouts/15/DocIdRedir.aspx?ID=FH2U77ACRMHP-1962546955-46346, FH2U77ACRMHP-1962546955-46346</vt:lpwstr>
  </property>
  <property fmtid="{D5CDD505-2E9C-101B-9397-08002B2CF9AE}" pid="6" name="GrammarlyDocumentId">
    <vt:lpwstr>03132ba68c0db205cfadf11d300bd4df5fa79738a0140836784d62daa03e9c71</vt:lpwstr>
  </property>
</Properties>
</file>